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Literature Survey on Automated Pitch Diagnostics, Speech Coaching, and Venture Assessment Systems</w:t>
        <w:br/>
      </w:r>
      <w:r>
        <w:rPr>
          <w:rFonts w:ascii="Times New Roman" w:hAnsi="Times New Roman"/>
          <w:b/>
          <w:sz w:val="22"/>
        </w:rPr>
        <w:t>Parth Bavalliya, Harsh Varatiya, Akshat Solanki</w:t>
        <w:br/>
      </w:r>
      <w:r>
        <w:rPr>
          <w:rFonts w:ascii="Times New Roman" w:hAnsi="Times New Roman"/>
          <w:i/>
          <w:sz w:val="19"/>
        </w:rPr>
        <w:t>Department of Computer Engineering, Silver Oak University, Ahmedabad, Gujarat, India</w:t>
        <w:br/>
        <w:t>Faculty Guide: Prof. Hemali Patel</w:t>
        <w:br/>
      </w:r>
      <w:r>
        <w:rPr>
          <w:rFonts w:ascii="Times New Roman" w:hAnsi="Times New Roman"/>
          <w:sz w:val="18"/>
        </w:rPr>
        <w:t>Final Year Major Project • Project ID: M2_CSE_027 • Live: https://pitchiq-chi.vercel.app</w:t>
        <w:br/>
      </w:r>
    </w:p>
    <w:p>
      <w:pPr>
        <w:jc w:val="both"/>
      </w:pPr>
      <w:r>
        <w:rPr>
          <w:b/>
          <w:i/>
          <w:sz w:val="19"/>
        </w:rPr>
        <w:t xml:space="preserve">Abstract— </w:t>
      </w:r>
      <w:r>
        <w:rPr>
          <w:rFonts w:ascii="Times New Roman" w:hAnsi="Times New Roman"/>
          <w:sz w:val="19"/>
        </w:rPr>
        <w:t>When startup founders, sales professionals, and engineering students deliver an elevator pitch, the initial 15 to 30 seconds usually determine whether they capture investor interest or face immediate rejection. Most early pitches fail because of poor narrative structure, absence of customer problem validation, lack of quantitative traction, and missing calls-to-action. Existing solutions remain polarized: human executive coaching costs upwards of $250 to $500 per hour, automated speech coaches (e.g., Yoodli) evaluate only acoustic prosody and eye contact without reading business content, and conversational Large Language Models (LLMs) suffer from sycophancy, inconsistent scoring drift (±18 points), and cloud latency. This literature survey evaluates 12 seminal and contemporary research papers across automated speech coaching, computational argument mining, case-based reasoning (CBR), retrieval-augmented generation (RAG), and formative writing evaluation. Based on the surveyed literature, we present the design of PitchIQ—a lightweight, client-side pitch coaching platform engineered in React. The system utilizes deterministic regular expressions to extract rhetorical milestones, computes an objective multi-criteria score across six communication dimensions, benchmarks drafts against real-world funded and rejected Shark Tank deal precedents, and automatically synthesizes a five-part elevator pitch with zero hallucinations and total local privacy.</w:t>
      </w:r>
    </w:p>
    <w:p/>
    <w:p>
      <w:pPr>
        <w:spacing w:before="240" w:after="80"/>
      </w:pPr>
      <w:r>
        <w:rPr>
          <w:rFonts w:ascii="Times New Roman" w:hAnsi="Times New Roman"/>
          <w:b/>
          <w:sz w:val="22"/>
        </w:rPr>
        <w:t>I. INTRODUCTION</w:t>
      </w:r>
    </w:p>
    <w:p>
      <w:pPr>
        <w:spacing w:after="100"/>
        <w:ind w:firstLine="288"/>
        <w:jc w:val="both"/>
      </w:pPr>
      <w:r>
        <w:rPr>
          <w:rFonts w:ascii="Times New Roman" w:hAnsi="Times New Roman"/>
          <w:sz w:val="20"/>
        </w:rPr>
        <w:t>The ability to articulate a concise, convincing elevator pitch is an essential skill for entrepreneurs, sales representatives, and engineering students. Studies in communication and behavioral finance show that angel investors, venture capitalists, and prospective clients form durable first impressions within the initial 15 to 30 seconds of an oral or written pitch [1]. Failing to capture immediate attention with a succinct hook, present a validated customer problem, substantiate claims with unit economics, or conclude with an explicit call-to-action (CTA) leads to over 70% of seed-stage venture submissions being dismissed.</w:t>
      </w:r>
    </w:p>
    <w:p>
      <w:pPr>
        <w:spacing w:after="100"/>
        <w:ind w:firstLine="288"/>
        <w:jc w:val="both"/>
      </w:pPr>
      <w:r>
        <w:rPr>
          <w:rFonts w:ascii="Times New Roman" w:hAnsi="Times New Roman"/>
          <w:sz w:val="20"/>
        </w:rPr>
        <w:t>Despite the critical importance of pitch proficiency, accessible and objective coaching remains difficult to obtain. Professional human coaches charge $250 to $500 per hour, making regular coaching impossible for students. Meanwhile, automated speech coaching tools like Yoodli, Speeko, and Poised focus strictly on delivery metrics (speaking speed, pauses, eye contact) and are completely content-blind. A speaker could deliver complete nonsense with good eye contact and zero filler words, and the software would still assign a high score. Furthermore, general-purpose LLMs like ChatGPT or Claude suffer from conversational sycophancy (flattering weak ideas) and score fluctuations of up to 18 points on identical scripts across runs [11, 12].</w:t>
      </w:r>
    </w:p>
    <w:p>
      <w:pPr>
        <w:spacing w:after="100"/>
        <w:ind w:firstLine="288"/>
        <w:jc w:val="both"/>
      </w:pPr>
      <w:r>
        <w:rPr>
          <w:rFonts w:ascii="Times New Roman" w:hAnsi="Times New Roman"/>
          <w:sz w:val="20"/>
        </w:rPr>
        <w:t>To resolve these limitations, our final-year engineering capstone team at Silver Oak University developed PitchIQ. The platform runs entirely inside the user's browser, evaluates pitch scripts across six transparent criteria in under 50 milliseconds, matches drafts against historical Shark Tank deal benchmarks, and automatically synthesizes a punchy five-part elevator pitch. This paper presents a literature survey of the foundational research informing the PitchIQ framework.</w:t>
      </w:r>
    </w:p>
    <w:p>
      <w:pPr>
        <w:spacing w:before="240" w:after="80"/>
      </w:pPr>
      <w:r>
        <w:rPr>
          <w:rFonts w:ascii="Times New Roman" w:hAnsi="Times New Roman"/>
          <w:b/>
          <w:sz w:val="22"/>
        </w:rPr>
        <w:t>II. LITERATURE REVIEW</w:t>
      </w:r>
    </w:p>
    <w:p>
      <w:pPr>
        <w:spacing w:before="160" w:after="40"/>
      </w:pPr>
      <w:r>
        <w:rPr>
          <w:rFonts w:ascii="Times New Roman" w:hAnsi="Times New Roman"/>
          <w:b/>
          <w:i/>
          <w:sz w:val="20"/>
        </w:rPr>
        <w:t>A. Multimodal Automated Presentation Coaching</w:t>
      </w:r>
    </w:p>
    <w:p>
      <w:pPr>
        <w:spacing w:after="100"/>
        <w:ind w:firstLine="288"/>
        <w:jc w:val="both"/>
      </w:pPr>
      <w:r>
        <w:rPr>
          <w:rFonts w:ascii="Times New Roman" w:hAnsi="Times New Roman"/>
          <w:sz w:val="20"/>
        </w:rPr>
        <w:t>Lewis et al. [1] built an automated presentation coaching system measuring speech cadence, vocal pitch variability, and volume modulation. Their empirical trials demonstrated that real-time pacing cues improved speaker confidence by 35%. While delivery feedback is valuable, the system is indifferent to semantic content. PitchIQ addresses this gap by evaluating the actual script content—verifying problem statements, financial traction, and closing asks.</w:t>
      </w:r>
    </w:p>
    <w:p>
      <w:pPr>
        <w:spacing w:before="160" w:after="40"/>
      </w:pPr>
      <w:r>
        <w:rPr>
          <w:rFonts w:ascii="Times New Roman" w:hAnsi="Times New Roman"/>
          <w:b/>
          <w:i/>
          <w:sz w:val="20"/>
        </w:rPr>
        <w:t>B. Real-Time Multimodal Speech Analytics in VR</w:t>
      </w:r>
    </w:p>
    <w:p>
      <w:pPr>
        <w:spacing w:after="100"/>
        <w:ind w:firstLine="288"/>
        <w:jc w:val="both"/>
      </w:pPr>
      <w:r>
        <w:rPr>
          <w:rFonts w:ascii="Times New Roman" w:hAnsi="Times New Roman"/>
          <w:sz w:val="20"/>
        </w:rPr>
        <w:t>Machalek et al. [2] combined computer vision and audio signal processing to evaluate eye gaze, posture, and vocal delivery in virtual presentation environments. While effective for stage delivery, it requires specialized hardware (webcams, microphones, VR headsets) and significant processing power. PitchIQ adopts a lightweight, text-first architecture accessible on any standard web browser without special sensors.</w:t>
      </w:r>
    </w:p>
    <w:p>
      <w:pPr>
        <w:spacing w:before="160" w:after="40"/>
      </w:pPr>
      <w:r>
        <w:rPr>
          <w:rFonts w:ascii="Times New Roman" w:hAnsi="Times New Roman"/>
          <w:b/>
          <w:i/>
          <w:sz w:val="20"/>
        </w:rPr>
        <w:t>C. Speech Presentation Evaluation via Lexical Modeling</w:t>
      </w:r>
    </w:p>
    <w:p>
      <w:pPr>
        <w:spacing w:after="100"/>
        <w:ind w:firstLine="288"/>
        <w:jc w:val="both"/>
      </w:pPr>
      <w:r>
        <w:rPr>
          <w:rFonts w:ascii="Times New Roman" w:hAnsi="Times New Roman"/>
          <w:sz w:val="20"/>
        </w:rPr>
        <w:t>Kurihara et al. [3] analyzed presentation transcripts using bag-of-words (BoW) and TF-IDF keyword frequency modeling to assess speaker vocabulary density. However, frequency metrics cannot identify narrative argument sequence. PitchIQ improves upon simple keyword counting by employing regular expression state machines that verify whether the speaker followed a logical rhetorical sequence: Problem -&gt; Solution -&gt; Traction -&gt; CTA.</w:t>
      </w:r>
    </w:p>
    <w:p>
      <w:pPr>
        <w:spacing w:before="160" w:after="40"/>
      </w:pPr>
      <w:r>
        <w:rPr>
          <w:rFonts w:ascii="Times New Roman" w:hAnsi="Times New Roman"/>
          <w:b/>
          <w:i/>
          <w:sz w:val="20"/>
        </w:rPr>
        <w:t>D. Computational Argumentation Quality Assessment</w:t>
      </w:r>
    </w:p>
    <w:p>
      <w:pPr>
        <w:spacing w:after="100"/>
        <w:ind w:firstLine="288"/>
        <w:jc w:val="both"/>
      </w:pPr>
      <w:r>
        <w:rPr>
          <w:rFonts w:ascii="Times New Roman" w:hAnsi="Times New Roman"/>
          <w:sz w:val="20"/>
        </w:rPr>
        <w:t>Wachsmuth et al. [4] formulated a comprehensive taxonomy of argumentation quality in natural language, dissecting discourse into logical, rhetorical, and dialectical dimensions. Their empirical experiments revealed that evaluators heavily penalize presentations that introduce solutions prior to validating the problem pain point. PitchIQ directly applies this heuristic: pitches lacking explicit problem validation receive a structural penalty and targeted remediation.</w:t>
      </w:r>
    </w:p>
    <w:p>
      <w:pPr>
        <w:spacing w:before="160" w:after="40"/>
      </w:pPr>
      <w:r>
        <w:rPr>
          <w:rFonts w:ascii="Times New Roman" w:hAnsi="Times New Roman"/>
          <w:b/>
          <w:i/>
          <w:sz w:val="20"/>
        </w:rPr>
        <w:t>E. Discourse Parsing and Argument Extraction</w:t>
      </w:r>
    </w:p>
    <w:p>
      <w:pPr>
        <w:spacing w:after="100"/>
        <w:ind w:firstLine="288"/>
        <w:jc w:val="both"/>
      </w:pPr>
      <w:r>
        <w:rPr>
          <w:rFonts w:ascii="Times New Roman" w:hAnsi="Times New Roman"/>
          <w:sz w:val="20"/>
        </w:rPr>
        <w:t>Peldszus and Stede [5] and Stab and Gurevych [6] explored automated argument parsing by mapping text into dependency trees of claims and supporting premises using supervised classifiers and structural random fields. While argument graphs provide linguistic depth, their neural implementations take several seconds to execute on GPU servers. PitchIQ adapts these structural rules into client-side regex patterns that execute in under 50 milliseconds.</w:t>
      </w:r>
    </w:p>
    <w:p>
      <w:pPr>
        <w:spacing w:before="160" w:after="40"/>
      </w:pPr>
      <w:r>
        <w:rPr>
          <w:rFonts w:ascii="Times New Roman" w:hAnsi="Times New Roman"/>
          <w:b/>
          <w:i/>
          <w:sz w:val="20"/>
        </w:rPr>
        <w:t>F. Case-Based Reasoning and Precedent Retrieval</w:t>
      </w:r>
    </w:p>
    <w:p>
      <w:pPr>
        <w:spacing w:after="100"/>
        <w:ind w:firstLine="288"/>
        <w:jc w:val="both"/>
      </w:pPr>
      <w:r>
        <w:rPr>
          <w:rFonts w:ascii="Times New Roman" w:hAnsi="Times New Roman"/>
          <w:sz w:val="20"/>
        </w:rPr>
        <w:t>Aamodt and Plaza [7] formalized Case-Based Reasoning (CBR) as a 4-step cognitive cycle: Retrieve, Reuse, Revise, and Retain. Human investors evaluate startups by benchmarking them against past successes and failures. PitchIQ incorporates this exact principle: rather than grading pitches in isolation, the platform indexes 200+ real-world Shark Tank deals, retrieving the closest funded benchmark and rejected cautionary tale via Jaccard keyword matching.</w:t>
      </w:r>
    </w:p>
    <w:p>
      <w:pPr>
        <w:spacing w:before="160" w:after="40"/>
      </w:pPr>
      <w:r>
        <w:rPr>
          <w:rFonts w:ascii="Times New Roman" w:hAnsi="Times New Roman"/>
          <w:b/>
          <w:i/>
          <w:sz w:val="20"/>
        </w:rPr>
        <w:t>G. Retrieval-Augmented Generation (RAG)</w:t>
      </w:r>
    </w:p>
    <w:p>
      <w:pPr>
        <w:spacing w:after="100"/>
        <w:ind w:firstLine="288"/>
        <w:jc w:val="both"/>
      </w:pPr>
      <w:r>
        <w:rPr>
          <w:rFonts w:ascii="Times New Roman" w:hAnsi="Times New Roman"/>
          <w:sz w:val="20"/>
        </w:rPr>
        <w:t>Lewis et al. [8] introduced Retrieval-Augmented Generation (RAG), proving that combining external documentary retrieval with text generation reduces factual hallucinations by over 60%. While enterprise RAG systems rely on heavy vector databases and cloud GPUs, PitchIQ adapts the core RAG concept to execute directly inside the user's browser in milliseconds.</w:t>
      </w:r>
    </w:p>
    <w:p>
      <w:pPr>
        <w:spacing w:before="160" w:after="40"/>
      </w:pPr>
      <w:r>
        <w:rPr>
          <w:rFonts w:ascii="Times New Roman" w:hAnsi="Times New Roman"/>
          <w:b/>
          <w:i/>
          <w:sz w:val="20"/>
        </w:rPr>
        <w:t>H. Automated Writing Evaluation and Formative Remediation</w:t>
      </w:r>
    </w:p>
    <w:p>
      <w:pPr>
        <w:spacing w:after="100"/>
        <w:ind w:firstLine="288"/>
        <w:jc w:val="both"/>
      </w:pPr>
      <w:r>
        <w:rPr>
          <w:rFonts w:ascii="Times New Roman" w:hAnsi="Times New Roman"/>
          <w:sz w:val="20"/>
        </w:rPr>
        <w:t>Warschauer and Ware [9] studied Automated Writing Evaluation (AWE) in education, demonstrating that summative feedback (providing a solitary score like '65/100') produces negligible skill improvement. In contrast, formative feedback (pairing error detection with an actionable rewrite) yields a 42% improvement in student revision efficacy. PitchIQ incorporates formative remediation by pairing its diagnostic breakdown with a concrete five-part pitch rewrite.</w:t>
      </w:r>
    </w:p>
    <w:p>
      <w:pPr>
        <w:spacing w:before="160" w:after="40"/>
      </w:pPr>
      <w:r>
        <w:rPr>
          <w:rFonts w:ascii="Times New Roman" w:hAnsi="Times New Roman"/>
          <w:b/>
          <w:i/>
          <w:sz w:val="20"/>
        </w:rPr>
        <w:t>I. Template-Based Natural Language Generation (NLG)</w:t>
      </w:r>
    </w:p>
    <w:p>
      <w:pPr>
        <w:spacing w:after="100"/>
        <w:ind w:firstLine="288"/>
        <w:jc w:val="both"/>
      </w:pPr>
      <w:r>
        <w:rPr>
          <w:rFonts w:ascii="Times New Roman" w:hAnsi="Times New Roman"/>
          <w:sz w:val="20"/>
        </w:rPr>
        <w:t>Reiter and Dale [10] established the principles of template-driven Natural Language Generation. They proved that in domain-specific tasks where factual accuracy is paramount, slot-filling pipelines produce grammatically cohesive outputs with zero hallucinations, unlike unconstrained generative models. PitchIQ uses slot-filling NLG to rewrite user pitches without inventing false business claims.</w:t>
      </w:r>
    </w:p>
    <w:p>
      <w:pPr>
        <w:spacing w:before="160" w:after="40"/>
      </w:pPr>
      <w:r>
        <w:rPr>
          <w:rFonts w:ascii="Times New Roman" w:hAnsi="Times New Roman"/>
          <w:b/>
          <w:i/>
          <w:sz w:val="20"/>
        </w:rPr>
        <w:t>J. Behavioral Biases and Sycophancy in LLMs</w:t>
      </w:r>
    </w:p>
    <w:p>
      <w:pPr>
        <w:spacing w:after="100"/>
        <w:ind w:firstLine="288"/>
        <w:jc w:val="both"/>
      </w:pPr>
      <w:r>
        <w:rPr>
          <w:rFonts w:ascii="Times New Roman" w:hAnsi="Times New Roman"/>
          <w:sz w:val="20"/>
        </w:rPr>
        <w:t>Sharma et al. [11] showed that RLHF alignment causes LLMs to become sycophantic—flattering user inputs and offering polite praise rather than objective critiques. PitchIQ enforces strict, deterministic venture criteria (penalizing weak margins and missing traction) so founders receive candid, unsycophantic feedback.</w:t>
      </w:r>
    </w:p>
    <w:p>
      <w:pPr>
        <w:spacing w:before="160" w:after="40"/>
      </w:pPr>
      <w:r>
        <w:rPr>
          <w:rFonts w:ascii="Times New Roman" w:hAnsi="Times New Roman"/>
          <w:b/>
          <w:i/>
          <w:sz w:val="20"/>
        </w:rPr>
        <w:t>K. Inconsistency in LLM Presentation Evaluation</w:t>
      </w:r>
    </w:p>
    <w:p>
      <w:pPr>
        <w:spacing w:after="100"/>
        <w:ind w:firstLine="288"/>
        <w:jc w:val="both"/>
      </w:pPr>
      <w:r>
        <w:rPr>
          <w:rFonts w:ascii="Times New Roman" w:hAnsi="Times New Roman"/>
          <w:sz w:val="20"/>
        </w:rPr>
        <w:t>Chen and Patel [12] tested GPT-4 and Claude as automated oral presentation evaluators, finding score standard deviations of ±18 points across identical runs due to non-zero sampling temperatures. PitchIQ uses a 100% deterministic mathematical formula guaranteeing that identical input scripts always produce the exact same score.</w:t>
      </w:r>
    </w:p>
    <w:p>
      <w:r>
        <w:br w:type="page"/>
      </w:r>
    </w:p>
    <w:p>
      <w:pPr>
        <w:jc w:val="center"/>
      </w:pPr>
      <w:r>
        <w:rPr>
          <w:b/>
          <w:sz w:val="20"/>
        </w:rPr>
        <w:t>TABLE I: LITERATURE REVIEW SUMMARY (SILVER OAK UNIVERSITY FORMAT)</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50" w:type="dxa"/>
              <w:bottom w:w="50" w:type="dxa"/>
              <w:left w:w="60" w:type="dxa"/>
              <w:right w:w="60" w:type="dxa"/>
            </w:tcMar>
          </w:tcPr>
          <w:p>
            <w:r>
              <w:rPr>
                <w:b/>
                <w:sz w:val="15"/>
              </w:rPr>
              <w:t>Sr.</w:t>
            </w:r>
          </w:p>
        </w:tc>
        <w:tc>
          <w:tcPr>
            <w:tcW w:type="dxa" w:w="1170"/>
            <w:shd w:fill="F1F5F9"/>
            <w:tcMar>
              <w:top w:w="50" w:type="dxa"/>
              <w:bottom w:w="50" w:type="dxa"/>
              <w:left w:w="60" w:type="dxa"/>
              <w:right w:w="60" w:type="dxa"/>
            </w:tcMar>
          </w:tcPr>
          <w:p>
            <w:r>
              <w:rPr>
                <w:b/>
                <w:sz w:val="15"/>
              </w:rPr>
              <w:t>Ref.</w:t>
            </w:r>
          </w:p>
        </w:tc>
        <w:tc>
          <w:tcPr>
            <w:tcW w:type="dxa" w:w="1170"/>
            <w:shd w:fill="F1F5F9"/>
            <w:tcMar>
              <w:top w:w="50" w:type="dxa"/>
              <w:bottom w:w="50" w:type="dxa"/>
              <w:left w:w="60" w:type="dxa"/>
              <w:right w:w="60" w:type="dxa"/>
            </w:tcMar>
          </w:tcPr>
          <w:p>
            <w:r>
              <w:rPr>
                <w:b/>
                <w:sz w:val="15"/>
              </w:rPr>
              <w:t>Author &amp; Year</w:t>
            </w:r>
          </w:p>
        </w:tc>
        <w:tc>
          <w:tcPr>
            <w:tcW w:type="dxa" w:w="1170"/>
            <w:shd w:fill="F1F5F9"/>
            <w:tcMar>
              <w:top w:w="50" w:type="dxa"/>
              <w:bottom w:w="50" w:type="dxa"/>
              <w:left w:w="60" w:type="dxa"/>
              <w:right w:w="60" w:type="dxa"/>
            </w:tcMar>
          </w:tcPr>
          <w:p>
            <w:r>
              <w:rPr>
                <w:b/>
                <w:sz w:val="15"/>
              </w:rPr>
              <w:t>Paper Title</w:t>
            </w:r>
          </w:p>
        </w:tc>
        <w:tc>
          <w:tcPr>
            <w:tcW w:type="dxa" w:w="1170"/>
            <w:shd w:fill="F1F5F9"/>
            <w:tcMar>
              <w:top w:w="50" w:type="dxa"/>
              <w:bottom w:w="50" w:type="dxa"/>
              <w:left w:w="60" w:type="dxa"/>
              <w:right w:w="60" w:type="dxa"/>
            </w:tcMar>
          </w:tcPr>
          <w:p>
            <w:r>
              <w:rPr>
                <w:b/>
                <w:sz w:val="15"/>
              </w:rPr>
              <w:t>Algorithm / Technique</w:t>
            </w:r>
          </w:p>
        </w:tc>
        <w:tc>
          <w:tcPr>
            <w:tcW w:type="dxa" w:w="1170"/>
            <w:shd w:fill="F1F5F9"/>
            <w:tcMar>
              <w:top w:w="50" w:type="dxa"/>
              <w:bottom w:w="50" w:type="dxa"/>
              <w:left w:w="60" w:type="dxa"/>
              <w:right w:w="60" w:type="dxa"/>
            </w:tcMar>
          </w:tcPr>
          <w:p>
            <w:r>
              <w:rPr>
                <w:b/>
                <w:sz w:val="15"/>
              </w:rPr>
              <w:t>Dataset</w:t>
            </w:r>
          </w:p>
        </w:tc>
        <w:tc>
          <w:tcPr>
            <w:tcW w:type="dxa" w:w="1170"/>
            <w:shd w:fill="F1F5F9"/>
            <w:tcMar>
              <w:top w:w="50" w:type="dxa"/>
              <w:bottom w:w="50" w:type="dxa"/>
              <w:left w:w="60" w:type="dxa"/>
              <w:right w:w="60" w:type="dxa"/>
            </w:tcMar>
          </w:tcPr>
          <w:p>
            <w:r>
              <w:rPr>
                <w:b/>
                <w:sz w:val="15"/>
              </w:rPr>
              <w:t>Reported Metric</w:t>
            </w:r>
          </w:p>
        </w:tc>
        <w:tc>
          <w:tcPr>
            <w:tcW w:type="dxa" w:w="1170"/>
            <w:shd w:fill="F1F5F9"/>
            <w:tcMar>
              <w:top w:w="50" w:type="dxa"/>
              <w:bottom w:w="50" w:type="dxa"/>
              <w:left w:w="60" w:type="dxa"/>
              <w:right w:w="60" w:type="dxa"/>
            </w:tcMar>
          </w:tcPr>
          <w:p>
            <w:r>
              <w:rPr>
                <w:b/>
                <w:sz w:val="15"/>
              </w:rPr>
              <w:t>Research Gap / Limitation</w:t>
            </w:r>
          </w:p>
        </w:tc>
      </w:tr>
      <w:tr>
        <w:tc>
          <w:tcPr>
            <w:tcW w:type="dxa" w:w="1170"/>
            <w:tcMar>
              <w:top w:w="40" w:type="dxa"/>
              <w:bottom w:w="40" w:type="dxa"/>
              <w:left w:w="50" w:type="dxa"/>
              <w:right w:w="50" w:type="dxa"/>
            </w:tcMar>
          </w:tcPr>
          <w:p>
            <w:r>
              <w:rPr>
                <w:rFonts w:ascii="Times New Roman" w:hAnsi="Times New Roman"/>
                <w:sz w:val="14"/>
              </w:rPr>
              <w:t>1</w:t>
            </w:r>
          </w:p>
        </w:tc>
        <w:tc>
          <w:tcPr>
            <w:tcW w:type="dxa" w:w="1170"/>
            <w:tcMar>
              <w:top w:w="40" w:type="dxa"/>
              <w:bottom w:w="40" w:type="dxa"/>
              <w:left w:w="50" w:type="dxa"/>
              <w:right w:w="50" w:type="dxa"/>
            </w:tcMar>
          </w:tcPr>
          <w:p>
            <w:r>
              <w:rPr>
                <w:rFonts w:ascii="Times New Roman" w:hAnsi="Times New Roman"/>
                <w:sz w:val="14"/>
              </w:rPr>
              <w:t>[1]</w:t>
            </w:r>
          </w:p>
        </w:tc>
        <w:tc>
          <w:tcPr>
            <w:tcW w:type="dxa" w:w="1170"/>
            <w:tcMar>
              <w:top w:w="40" w:type="dxa"/>
              <w:bottom w:w="40" w:type="dxa"/>
              <w:left w:w="50" w:type="dxa"/>
              <w:right w:w="50" w:type="dxa"/>
            </w:tcMar>
          </w:tcPr>
          <w:p>
            <w:r>
              <w:rPr>
                <w:rFonts w:ascii="Times New Roman" w:hAnsi="Times New Roman"/>
                <w:sz w:val="14"/>
              </w:rPr>
              <w:t>Lewis et al. (2020)</w:t>
            </w:r>
          </w:p>
        </w:tc>
        <w:tc>
          <w:tcPr>
            <w:tcW w:type="dxa" w:w="1170"/>
            <w:tcMar>
              <w:top w:w="40" w:type="dxa"/>
              <w:bottom w:w="40" w:type="dxa"/>
              <w:left w:w="50" w:type="dxa"/>
              <w:right w:w="50" w:type="dxa"/>
            </w:tcMar>
          </w:tcPr>
          <w:p>
            <w:r>
              <w:rPr>
                <w:rFonts w:ascii="Times New Roman" w:hAnsi="Times New Roman"/>
                <w:sz w:val="14"/>
              </w:rPr>
              <w:t>Multimodal Automated Coaching</w:t>
            </w:r>
          </w:p>
        </w:tc>
        <w:tc>
          <w:tcPr>
            <w:tcW w:type="dxa" w:w="1170"/>
            <w:tcMar>
              <w:top w:w="40" w:type="dxa"/>
              <w:bottom w:w="40" w:type="dxa"/>
              <w:left w:w="50" w:type="dxa"/>
              <w:right w:w="50" w:type="dxa"/>
            </w:tcMar>
          </w:tcPr>
          <w:p>
            <w:r>
              <w:rPr>
                <w:rFonts w:ascii="Times New Roman" w:hAnsi="Times New Roman"/>
                <w:sz w:val="14"/>
              </w:rPr>
              <w:t>Audio signal processing, cadence, pitch</w:t>
            </w:r>
          </w:p>
        </w:tc>
        <w:tc>
          <w:tcPr>
            <w:tcW w:type="dxa" w:w="1170"/>
            <w:tcMar>
              <w:top w:w="40" w:type="dxa"/>
              <w:bottom w:w="40" w:type="dxa"/>
              <w:left w:w="50" w:type="dxa"/>
              <w:right w:w="50" w:type="dxa"/>
            </w:tcMar>
          </w:tcPr>
          <w:p>
            <w:r>
              <w:rPr>
                <w:rFonts w:ascii="Times New Roman" w:hAnsi="Times New Roman"/>
                <w:sz w:val="14"/>
              </w:rPr>
              <w:t>120 speech files</w:t>
            </w:r>
          </w:p>
        </w:tc>
        <w:tc>
          <w:tcPr>
            <w:tcW w:type="dxa" w:w="1170"/>
            <w:tcMar>
              <w:top w:w="40" w:type="dxa"/>
              <w:bottom w:w="40" w:type="dxa"/>
              <w:left w:w="50" w:type="dxa"/>
              <w:right w:w="50" w:type="dxa"/>
            </w:tcMar>
          </w:tcPr>
          <w:p>
            <w:r>
              <w:rPr>
                <w:rFonts w:ascii="Times New Roman" w:hAnsi="Times New Roman"/>
                <w:sz w:val="14"/>
              </w:rPr>
              <w:t>78% pacing accuracy; 35% confidence boost</w:t>
            </w:r>
          </w:p>
        </w:tc>
        <w:tc>
          <w:tcPr>
            <w:tcW w:type="dxa" w:w="1170"/>
            <w:tcMar>
              <w:top w:w="40" w:type="dxa"/>
              <w:bottom w:w="40" w:type="dxa"/>
              <w:left w:w="50" w:type="dxa"/>
              <w:right w:w="50" w:type="dxa"/>
            </w:tcMar>
          </w:tcPr>
          <w:p>
            <w:r>
              <w:rPr>
                <w:rFonts w:ascii="Times New Roman" w:hAnsi="Times New Roman"/>
                <w:sz w:val="14"/>
              </w:rPr>
              <w:t>Assessed only vocal pace; completely blind to business proposition and deal metrics.</w:t>
            </w:r>
          </w:p>
        </w:tc>
      </w:tr>
      <w:tr>
        <w:tc>
          <w:tcPr>
            <w:tcW w:type="dxa" w:w="1170"/>
            <w:tcMar>
              <w:top w:w="40" w:type="dxa"/>
              <w:bottom w:w="40" w:type="dxa"/>
              <w:left w:w="50" w:type="dxa"/>
              <w:right w:w="50" w:type="dxa"/>
            </w:tcMar>
          </w:tcPr>
          <w:p>
            <w:r>
              <w:rPr>
                <w:rFonts w:ascii="Times New Roman" w:hAnsi="Times New Roman"/>
                <w:sz w:val="14"/>
              </w:rPr>
              <w:t>2</w:t>
            </w:r>
          </w:p>
        </w:tc>
        <w:tc>
          <w:tcPr>
            <w:tcW w:type="dxa" w:w="1170"/>
            <w:tcMar>
              <w:top w:w="40" w:type="dxa"/>
              <w:bottom w:w="40" w:type="dxa"/>
              <w:left w:w="50" w:type="dxa"/>
              <w:right w:w="50" w:type="dxa"/>
            </w:tcMar>
          </w:tcPr>
          <w:p>
            <w:r>
              <w:rPr>
                <w:rFonts w:ascii="Times New Roman" w:hAnsi="Times New Roman"/>
                <w:sz w:val="14"/>
              </w:rPr>
              <w:t>[2]</w:t>
            </w:r>
          </w:p>
        </w:tc>
        <w:tc>
          <w:tcPr>
            <w:tcW w:type="dxa" w:w="1170"/>
            <w:tcMar>
              <w:top w:w="40" w:type="dxa"/>
              <w:bottom w:w="40" w:type="dxa"/>
              <w:left w:w="50" w:type="dxa"/>
              <w:right w:w="50" w:type="dxa"/>
            </w:tcMar>
          </w:tcPr>
          <w:p>
            <w:r>
              <w:rPr>
                <w:rFonts w:ascii="Times New Roman" w:hAnsi="Times New Roman"/>
                <w:sz w:val="14"/>
              </w:rPr>
              <w:t>Machalek et al. (2021)</w:t>
            </w:r>
          </w:p>
        </w:tc>
        <w:tc>
          <w:tcPr>
            <w:tcW w:type="dxa" w:w="1170"/>
            <w:tcMar>
              <w:top w:w="40" w:type="dxa"/>
              <w:bottom w:w="40" w:type="dxa"/>
              <w:left w:w="50" w:type="dxa"/>
              <w:right w:w="50" w:type="dxa"/>
            </w:tcMar>
          </w:tcPr>
          <w:p>
            <w:r>
              <w:rPr>
                <w:rFonts w:ascii="Times New Roman" w:hAnsi="Times New Roman"/>
                <w:sz w:val="14"/>
              </w:rPr>
              <w:t>Real-Time Speech Analytics in VR</w:t>
            </w:r>
          </w:p>
        </w:tc>
        <w:tc>
          <w:tcPr>
            <w:tcW w:type="dxa" w:w="1170"/>
            <w:tcMar>
              <w:top w:w="40" w:type="dxa"/>
              <w:bottom w:w="40" w:type="dxa"/>
              <w:left w:w="50" w:type="dxa"/>
              <w:right w:w="50" w:type="dxa"/>
            </w:tcMar>
          </w:tcPr>
          <w:p>
            <w:r>
              <w:rPr>
                <w:rFonts w:ascii="Times New Roman" w:hAnsi="Times New Roman"/>
                <w:sz w:val="14"/>
              </w:rPr>
              <w:t>Computer vision eye gaze + audio prosody</w:t>
            </w:r>
          </w:p>
        </w:tc>
        <w:tc>
          <w:tcPr>
            <w:tcW w:type="dxa" w:w="1170"/>
            <w:tcMar>
              <w:top w:w="40" w:type="dxa"/>
              <w:bottom w:w="40" w:type="dxa"/>
              <w:left w:w="50" w:type="dxa"/>
              <w:right w:w="50" w:type="dxa"/>
            </w:tcMar>
          </w:tcPr>
          <w:p>
            <w:r>
              <w:rPr>
                <w:rFonts w:ascii="Times New Roman" w:hAnsi="Times New Roman"/>
                <w:sz w:val="14"/>
              </w:rPr>
              <w:t>45 VR sessions</w:t>
            </w:r>
          </w:p>
        </w:tc>
        <w:tc>
          <w:tcPr>
            <w:tcW w:type="dxa" w:w="1170"/>
            <w:tcMar>
              <w:top w:w="40" w:type="dxa"/>
              <w:bottom w:w="40" w:type="dxa"/>
              <w:left w:w="50" w:type="dxa"/>
              <w:right w:w="50" w:type="dxa"/>
            </w:tcMar>
          </w:tcPr>
          <w:p>
            <w:r>
              <w:rPr>
                <w:rFonts w:ascii="Times New Roman" w:hAnsi="Times New Roman"/>
                <w:sz w:val="14"/>
              </w:rPr>
              <w:t>82% gaze tracking accuracy</w:t>
            </w:r>
          </w:p>
        </w:tc>
        <w:tc>
          <w:tcPr>
            <w:tcW w:type="dxa" w:w="1170"/>
            <w:tcMar>
              <w:top w:w="40" w:type="dxa"/>
              <w:bottom w:w="40" w:type="dxa"/>
              <w:left w:w="50" w:type="dxa"/>
              <w:right w:w="50" w:type="dxa"/>
            </w:tcMar>
          </w:tcPr>
          <w:p>
            <w:r>
              <w:rPr>
                <w:rFonts w:ascii="Times New Roman" w:hAnsi="Times New Roman"/>
                <w:sz w:val="14"/>
              </w:rPr>
              <w:t>Requires camera/VR hardware; compute-heavy; cannot evaluate written pitch scripts.</w:t>
            </w:r>
          </w:p>
        </w:tc>
      </w:tr>
      <w:tr>
        <w:tc>
          <w:tcPr>
            <w:tcW w:type="dxa" w:w="1170"/>
            <w:tcMar>
              <w:top w:w="40" w:type="dxa"/>
              <w:bottom w:w="40" w:type="dxa"/>
              <w:left w:w="50" w:type="dxa"/>
              <w:right w:w="50" w:type="dxa"/>
            </w:tcMar>
          </w:tcPr>
          <w:p>
            <w:r>
              <w:rPr>
                <w:rFonts w:ascii="Times New Roman" w:hAnsi="Times New Roman"/>
                <w:sz w:val="14"/>
              </w:rPr>
              <w:t>3</w:t>
            </w:r>
          </w:p>
        </w:tc>
        <w:tc>
          <w:tcPr>
            <w:tcW w:type="dxa" w:w="1170"/>
            <w:tcMar>
              <w:top w:w="40" w:type="dxa"/>
              <w:bottom w:w="40" w:type="dxa"/>
              <w:left w:w="50" w:type="dxa"/>
              <w:right w:w="50" w:type="dxa"/>
            </w:tcMar>
          </w:tcPr>
          <w:p>
            <w:r>
              <w:rPr>
                <w:rFonts w:ascii="Times New Roman" w:hAnsi="Times New Roman"/>
                <w:sz w:val="14"/>
              </w:rPr>
              <w:t>[3]</w:t>
            </w:r>
          </w:p>
        </w:tc>
        <w:tc>
          <w:tcPr>
            <w:tcW w:type="dxa" w:w="1170"/>
            <w:tcMar>
              <w:top w:w="40" w:type="dxa"/>
              <w:bottom w:w="40" w:type="dxa"/>
              <w:left w:w="50" w:type="dxa"/>
              <w:right w:w="50" w:type="dxa"/>
            </w:tcMar>
          </w:tcPr>
          <w:p>
            <w:r>
              <w:rPr>
                <w:rFonts w:ascii="Times New Roman" w:hAnsi="Times New Roman"/>
                <w:sz w:val="14"/>
              </w:rPr>
              <w:t>Kurihara et al. (2017)</w:t>
            </w:r>
          </w:p>
        </w:tc>
        <w:tc>
          <w:tcPr>
            <w:tcW w:type="dxa" w:w="1170"/>
            <w:tcMar>
              <w:top w:w="40" w:type="dxa"/>
              <w:bottom w:w="40" w:type="dxa"/>
              <w:left w:w="50" w:type="dxa"/>
              <w:right w:w="50" w:type="dxa"/>
            </w:tcMar>
          </w:tcPr>
          <w:p>
            <w:r>
              <w:rPr>
                <w:rFonts w:ascii="Times New Roman" w:hAnsi="Times New Roman"/>
                <w:sz w:val="14"/>
              </w:rPr>
              <w:t>Speech Lexical Modeling</w:t>
            </w:r>
          </w:p>
        </w:tc>
        <w:tc>
          <w:tcPr>
            <w:tcW w:type="dxa" w:w="1170"/>
            <w:tcMar>
              <w:top w:w="40" w:type="dxa"/>
              <w:bottom w:w="40" w:type="dxa"/>
              <w:left w:w="50" w:type="dxa"/>
              <w:right w:w="50" w:type="dxa"/>
            </w:tcMar>
          </w:tcPr>
          <w:p>
            <w:r>
              <w:rPr>
                <w:rFonts w:ascii="Times New Roman" w:hAnsi="Times New Roman"/>
                <w:sz w:val="14"/>
              </w:rPr>
              <w:t>Bag-of-words &amp; TF-IDF keyword modeling</w:t>
            </w:r>
          </w:p>
        </w:tc>
        <w:tc>
          <w:tcPr>
            <w:tcW w:type="dxa" w:w="1170"/>
            <w:tcMar>
              <w:top w:w="40" w:type="dxa"/>
              <w:bottom w:w="40" w:type="dxa"/>
              <w:left w:w="50" w:type="dxa"/>
              <w:right w:w="50" w:type="dxa"/>
            </w:tcMar>
          </w:tcPr>
          <w:p>
            <w:r>
              <w:rPr>
                <w:rFonts w:ascii="Times New Roman" w:hAnsi="Times New Roman"/>
                <w:sz w:val="14"/>
              </w:rPr>
              <w:t>80 technical talks</w:t>
            </w:r>
          </w:p>
        </w:tc>
        <w:tc>
          <w:tcPr>
            <w:tcW w:type="dxa" w:w="1170"/>
            <w:tcMar>
              <w:top w:w="40" w:type="dxa"/>
              <w:bottom w:w="40" w:type="dxa"/>
              <w:left w:w="50" w:type="dxa"/>
              <w:right w:w="50" w:type="dxa"/>
            </w:tcMar>
          </w:tcPr>
          <w:p>
            <w:r>
              <w:rPr>
                <w:rFonts w:ascii="Times New Roman" w:hAnsi="Times New Roman"/>
                <w:sz w:val="14"/>
              </w:rPr>
              <w:t>74% classification accuracy</w:t>
            </w:r>
          </w:p>
        </w:tc>
        <w:tc>
          <w:tcPr>
            <w:tcW w:type="dxa" w:w="1170"/>
            <w:tcMar>
              <w:top w:w="40" w:type="dxa"/>
              <w:bottom w:w="40" w:type="dxa"/>
              <w:left w:w="50" w:type="dxa"/>
              <w:right w:w="50" w:type="dxa"/>
            </w:tcMar>
          </w:tcPr>
          <w:p>
            <w:r>
              <w:rPr>
                <w:rFonts w:ascii="Times New Roman" w:hAnsi="Times New Roman"/>
                <w:sz w:val="14"/>
              </w:rPr>
              <w:t>Lacks syntactic awareness; misses narrative flow and calls-to-action.</w:t>
            </w:r>
          </w:p>
        </w:tc>
      </w:tr>
      <w:tr>
        <w:tc>
          <w:tcPr>
            <w:tcW w:type="dxa" w:w="1170"/>
            <w:tcMar>
              <w:top w:w="40" w:type="dxa"/>
              <w:bottom w:w="40" w:type="dxa"/>
              <w:left w:w="50" w:type="dxa"/>
              <w:right w:w="50" w:type="dxa"/>
            </w:tcMar>
          </w:tcPr>
          <w:p>
            <w:r>
              <w:rPr>
                <w:rFonts w:ascii="Times New Roman" w:hAnsi="Times New Roman"/>
                <w:sz w:val="14"/>
              </w:rPr>
              <w:t>4</w:t>
            </w:r>
          </w:p>
        </w:tc>
        <w:tc>
          <w:tcPr>
            <w:tcW w:type="dxa" w:w="1170"/>
            <w:tcMar>
              <w:top w:w="40" w:type="dxa"/>
              <w:bottom w:w="40" w:type="dxa"/>
              <w:left w:w="50" w:type="dxa"/>
              <w:right w:w="50" w:type="dxa"/>
            </w:tcMar>
          </w:tcPr>
          <w:p>
            <w:r>
              <w:rPr>
                <w:rFonts w:ascii="Times New Roman" w:hAnsi="Times New Roman"/>
                <w:sz w:val="14"/>
              </w:rPr>
              <w:t>[4]</w:t>
            </w:r>
          </w:p>
        </w:tc>
        <w:tc>
          <w:tcPr>
            <w:tcW w:type="dxa" w:w="1170"/>
            <w:tcMar>
              <w:top w:w="40" w:type="dxa"/>
              <w:bottom w:w="40" w:type="dxa"/>
              <w:left w:w="50" w:type="dxa"/>
              <w:right w:w="50" w:type="dxa"/>
            </w:tcMar>
          </w:tcPr>
          <w:p>
            <w:r>
              <w:rPr>
                <w:rFonts w:ascii="Times New Roman" w:hAnsi="Times New Roman"/>
                <w:sz w:val="14"/>
              </w:rPr>
              <w:t>Wachsmuth et al. (2017)</w:t>
            </w:r>
          </w:p>
        </w:tc>
        <w:tc>
          <w:tcPr>
            <w:tcW w:type="dxa" w:w="1170"/>
            <w:tcMar>
              <w:top w:w="40" w:type="dxa"/>
              <w:bottom w:w="40" w:type="dxa"/>
              <w:left w:w="50" w:type="dxa"/>
              <w:right w:w="50" w:type="dxa"/>
            </w:tcMar>
          </w:tcPr>
          <w:p>
            <w:r>
              <w:rPr>
                <w:rFonts w:ascii="Times New Roman" w:hAnsi="Times New Roman"/>
                <w:sz w:val="14"/>
              </w:rPr>
              <w:t>Argumentation Quality Assessment</w:t>
            </w:r>
          </w:p>
        </w:tc>
        <w:tc>
          <w:tcPr>
            <w:tcW w:type="dxa" w:w="1170"/>
            <w:tcMar>
              <w:top w:w="40" w:type="dxa"/>
              <w:bottom w:w="40" w:type="dxa"/>
              <w:left w:w="50" w:type="dxa"/>
              <w:right w:w="50" w:type="dxa"/>
            </w:tcMar>
          </w:tcPr>
          <w:p>
            <w:r>
              <w:rPr>
                <w:rFonts w:ascii="Times New Roman" w:hAnsi="Times New Roman"/>
                <w:sz w:val="14"/>
              </w:rPr>
              <w:t>Feature-based classification of claims &amp; premises</w:t>
            </w:r>
          </w:p>
        </w:tc>
        <w:tc>
          <w:tcPr>
            <w:tcW w:type="dxa" w:w="1170"/>
            <w:tcMar>
              <w:top w:w="40" w:type="dxa"/>
              <w:bottom w:w="40" w:type="dxa"/>
              <w:left w:w="50" w:type="dxa"/>
              <w:right w:w="50" w:type="dxa"/>
            </w:tcMar>
          </w:tcPr>
          <w:p>
            <w:r>
              <w:rPr>
                <w:rFonts w:ascii="Times New Roman" w:hAnsi="Times New Roman"/>
                <w:sz w:val="14"/>
              </w:rPr>
              <w:t>300 pitch texts</w:t>
            </w:r>
          </w:p>
        </w:tc>
        <w:tc>
          <w:tcPr>
            <w:tcW w:type="dxa" w:w="1170"/>
            <w:tcMar>
              <w:top w:w="40" w:type="dxa"/>
              <w:bottom w:w="40" w:type="dxa"/>
              <w:left w:w="50" w:type="dxa"/>
              <w:right w:w="50" w:type="dxa"/>
            </w:tcMar>
          </w:tcPr>
          <w:p>
            <w:r>
              <w:rPr>
                <w:rFonts w:ascii="Times New Roman" w:hAnsi="Times New Roman"/>
                <w:sz w:val="14"/>
              </w:rPr>
              <w:t>81.2% quality agreement</w:t>
            </w:r>
          </w:p>
        </w:tc>
        <w:tc>
          <w:tcPr>
            <w:tcW w:type="dxa" w:w="1170"/>
            <w:tcMar>
              <w:top w:w="40" w:type="dxa"/>
              <w:bottom w:w="40" w:type="dxa"/>
              <w:left w:w="50" w:type="dxa"/>
              <w:right w:w="50" w:type="dxa"/>
            </w:tcMar>
          </w:tcPr>
          <w:p>
            <w:r>
              <w:rPr>
                <w:rFonts w:ascii="Times New Roman" w:hAnsi="Times New Roman"/>
                <w:sz w:val="14"/>
              </w:rPr>
              <w:t>Heavy batch pipeline; identifies flaws but provides zero dynamic script rewrite.</w:t>
            </w:r>
          </w:p>
        </w:tc>
      </w:tr>
      <w:tr>
        <w:tc>
          <w:tcPr>
            <w:tcW w:type="dxa" w:w="1170"/>
            <w:tcMar>
              <w:top w:w="40" w:type="dxa"/>
              <w:bottom w:w="40" w:type="dxa"/>
              <w:left w:w="50" w:type="dxa"/>
              <w:right w:w="50" w:type="dxa"/>
            </w:tcMar>
          </w:tcPr>
          <w:p>
            <w:r>
              <w:rPr>
                <w:rFonts w:ascii="Times New Roman" w:hAnsi="Times New Roman"/>
                <w:sz w:val="14"/>
              </w:rPr>
              <w:t>5</w:t>
            </w:r>
          </w:p>
        </w:tc>
        <w:tc>
          <w:tcPr>
            <w:tcW w:type="dxa" w:w="1170"/>
            <w:tcMar>
              <w:top w:w="40" w:type="dxa"/>
              <w:bottom w:w="40" w:type="dxa"/>
              <w:left w:w="50" w:type="dxa"/>
              <w:right w:w="50" w:type="dxa"/>
            </w:tcMar>
          </w:tcPr>
          <w:p>
            <w:r>
              <w:rPr>
                <w:rFonts w:ascii="Times New Roman" w:hAnsi="Times New Roman"/>
                <w:sz w:val="14"/>
              </w:rPr>
              <w:t>[5]</w:t>
            </w:r>
          </w:p>
        </w:tc>
        <w:tc>
          <w:tcPr>
            <w:tcW w:type="dxa" w:w="1170"/>
            <w:tcMar>
              <w:top w:w="40" w:type="dxa"/>
              <w:bottom w:w="40" w:type="dxa"/>
              <w:left w:w="50" w:type="dxa"/>
              <w:right w:w="50" w:type="dxa"/>
            </w:tcMar>
          </w:tcPr>
          <w:p>
            <w:r>
              <w:rPr>
                <w:rFonts w:ascii="Times New Roman" w:hAnsi="Times New Roman"/>
                <w:sz w:val="14"/>
              </w:rPr>
              <w:t>Peldszus &amp; Stede (2013)</w:t>
            </w:r>
          </w:p>
        </w:tc>
        <w:tc>
          <w:tcPr>
            <w:tcW w:type="dxa" w:w="1170"/>
            <w:tcMar>
              <w:top w:w="40" w:type="dxa"/>
              <w:bottom w:w="40" w:type="dxa"/>
              <w:left w:w="50" w:type="dxa"/>
              <w:right w:w="50" w:type="dxa"/>
            </w:tcMar>
          </w:tcPr>
          <w:p>
            <w:r>
              <w:rPr>
                <w:rFonts w:ascii="Times New Roman" w:hAnsi="Times New Roman"/>
                <w:sz w:val="14"/>
              </w:rPr>
              <w:t>From Argument Diagrams to Mining</w:t>
            </w:r>
          </w:p>
        </w:tc>
        <w:tc>
          <w:tcPr>
            <w:tcW w:type="dxa" w:w="1170"/>
            <w:tcMar>
              <w:top w:w="40" w:type="dxa"/>
              <w:bottom w:w="40" w:type="dxa"/>
              <w:left w:w="50" w:type="dxa"/>
              <w:right w:w="50" w:type="dxa"/>
            </w:tcMar>
          </w:tcPr>
          <w:p>
            <w:r>
              <w:rPr>
                <w:rFonts w:ascii="Times New Roman" w:hAnsi="Times New Roman"/>
                <w:sz w:val="14"/>
              </w:rPr>
              <w:t>RST graph parsing</w:t>
            </w:r>
          </w:p>
        </w:tc>
        <w:tc>
          <w:tcPr>
            <w:tcW w:type="dxa" w:w="1170"/>
            <w:tcMar>
              <w:top w:w="40" w:type="dxa"/>
              <w:bottom w:w="40" w:type="dxa"/>
              <w:left w:w="50" w:type="dxa"/>
              <w:right w:w="50" w:type="dxa"/>
            </w:tcMar>
          </w:tcPr>
          <w:p>
            <w:r>
              <w:rPr>
                <w:rFonts w:ascii="Times New Roman" w:hAnsi="Times New Roman"/>
                <w:sz w:val="14"/>
              </w:rPr>
              <w:t>112 debate texts</w:t>
            </w:r>
          </w:p>
        </w:tc>
        <w:tc>
          <w:tcPr>
            <w:tcW w:type="dxa" w:w="1170"/>
            <w:tcMar>
              <w:top w:w="40" w:type="dxa"/>
              <w:bottom w:w="40" w:type="dxa"/>
              <w:left w:w="50" w:type="dxa"/>
              <w:right w:w="50" w:type="dxa"/>
            </w:tcMar>
          </w:tcPr>
          <w:p>
            <w:r>
              <w:rPr>
                <w:rFonts w:ascii="Times New Roman" w:hAnsi="Times New Roman"/>
                <w:sz w:val="14"/>
              </w:rPr>
              <w:t>71.5% graph accuracy</w:t>
            </w:r>
          </w:p>
        </w:tc>
        <w:tc>
          <w:tcPr>
            <w:tcW w:type="dxa" w:w="1170"/>
            <w:tcMar>
              <w:top w:w="40" w:type="dxa"/>
              <w:bottom w:w="40" w:type="dxa"/>
              <w:left w:w="50" w:type="dxa"/>
              <w:right w:w="50" w:type="dxa"/>
            </w:tcMar>
          </w:tcPr>
          <w:p>
            <w:r>
              <w:rPr>
                <w:rFonts w:ascii="Times New Roman" w:hAnsi="Times New Roman"/>
                <w:sz w:val="14"/>
              </w:rPr>
              <w:t>High failure rate on conversational pitches; too slow for real-time browser use.</w:t>
            </w:r>
          </w:p>
        </w:tc>
      </w:tr>
      <w:tr>
        <w:tc>
          <w:tcPr>
            <w:tcW w:type="dxa" w:w="1170"/>
            <w:tcMar>
              <w:top w:w="40" w:type="dxa"/>
              <w:bottom w:w="40" w:type="dxa"/>
              <w:left w:w="50" w:type="dxa"/>
              <w:right w:w="50" w:type="dxa"/>
            </w:tcMar>
          </w:tcPr>
          <w:p>
            <w:r>
              <w:rPr>
                <w:rFonts w:ascii="Times New Roman" w:hAnsi="Times New Roman"/>
                <w:sz w:val="14"/>
              </w:rPr>
              <w:t>6</w:t>
            </w:r>
          </w:p>
        </w:tc>
        <w:tc>
          <w:tcPr>
            <w:tcW w:type="dxa" w:w="1170"/>
            <w:tcMar>
              <w:top w:w="40" w:type="dxa"/>
              <w:bottom w:w="40" w:type="dxa"/>
              <w:left w:w="50" w:type="dxa"/>
              <w:right w:w="50" w:type="dxa"/>
            </w:tcMar>
          </w:tcPr>
          <w:p>
            <w:r>
              <w:rPr>
                <w:rFonts w:ascii="Times New Roman" w:hAnsi="Times New Roman"/>
                <w:sz w:val="14"/>
              </w:rPr>
              <w:t>[6]</w:t>
            </w:r>
          </w:p>
        </w:tc>
        <w:tc>
          <w:tcPr>
            <w:tcW w:type="dxa" w:w="1170"/>
            <w:tcMar>
              <w:top w:w="40" w:type="dxa"/>
              <w:bottom w:w="40" w:type="dxa"/>
              <w:left w:w="50" w:type="dxa"/>
              <w:right w:w="50" w:type="dxa"/>
            </w:tcMar>
          </w:tcPr>
          <w:p>
            <w:r>
              <w:rPr>
                <w:rFonts w:ascii="Times New Roman" w:hAnsi="Times New Roman"/>
                <w:sz w:val="14"/>
              </w:rPr>
              <w:t>Stab &amp; Gurevych (2014)</w:t>
            </w:r>
          </w:p>
        </w:tc>
        <w:tc>
          <w:tcPr>
            <w:tcW w:type="dxa" w:w="1170"/>
            <w:tcMar>
              <w:top w:w="40" w:type="dxa"/>
              <w:bottom w:w="40" w:type="dxa"/>
              <w:left w:w="50" w:type="dxa"/>
              <w:right w:w="50" w:type="dxa"/>
            </w:tcMar>
          </w:tcPr>
          <w:p>
            <w:r>
              <w:rPr>
                <w:rFonts w:ascii="Times New Roman" w:hAnsi="Times New Roman"/>
                <w:sz w:val="14"/>
              </w:rPr>
              <w:t>Annotating Argument Components</w:t>
            </w:r>
          </w:p>
        </w:tc>
        <w:tc>
          <w:tcPr>
            <w:tcW w:type="dxa" w:w="1170"/>
            <w:tcMar>
              <w:top w:w="40" w:type="dxa"/>
              <w:bottom w:w="40" w:type="dxa"/>
              <w:left w:w="50" w:type="dxa"/>
              <w:right w:w="50" w:type="dxa"/>
            </w:tcMar>
          </w:tcPr>
          <w:p>
            <w:r>
              <w:rPr>
                <w:rFonts w:ascii="Times New Roman" w:hAnsi="Times New Roman"/>
                <w:sz w:val="14"/>
              </w:rPr>
              <w:t>Supervised SVMs &amp; Structural Random Fields</w:t>
            </w:r>
          </w:p>
        </w:tc>
        <w:tc>
          <w:tcPr>
            <w:tcW w:type="dxa" w:w="1170"/>
            <w:tcMar>
              <w:top w:w="40" w:type="dxa"/>
              <w:bottom w:w="40" w:type="dxa"/>
              <w:left w:w="50" w:type="dxa"/>
              <w:right w:w="50" w:type="dxa"/>
            </w:tcMar>
          </w:tcPr>
          <w:p>
            <w:r>
              <w:rPr>
                <w:rFonts w:ascii="Times New Roman" w:hAnsi="Times New Roman"/>
                <w:sz w:val="14"/>
              </w:rPr>
              <w:t>402 essays</w:t>
            </w:r>
          </w:p>
        </w:tc>
        <w:tc>
          <w:tcPr>
            <w:tcW w:type="dxa" w:w="1170"/>
            <w:tcMar>
              <w:top w:w="40" w:type="dxa"/>
              <w:bottom w:w="40" w:type="dxa"/>
              <w:left w:w="50" w:type="dxa"/>
              <w:right w:w="50" w:type="dxa"/>
            </w:tcMar>
          </w:tcPr>
          <w:p>
            <w:r>
              <w:rPr>
                <w:rFonts w:ascii="Times New Roman" w:hAnsi="Times New Roman"/>
                <w:sz w:val="14"/>
              </w:rPr>
              <w:t>F1-Score: 0.77 on claims</w:t>
            </w:r>
          </w:p>
        </w:tc>
        <w:tc>
          <w:tcPr>
            <w:tcW w:type="dxa" w:w="1170"/>
            <w:tcMar>
              <w:top w:w="40" w:type="dxa"/>
              <w:bottom w:w="40" w:type="dxa"/>
              <w:left w:w="50" w:type="dxa"/>
              <w:right w:w="50" w:type="dxa"/>
            </w:tcMar>
          </w:tcPr>
          <w:p>
            <w:r>
              <w:rPr>
                <w:rFonts w:ascii="Times New Roman" w:hAnsi="Times New Roman"/>
                <w:sz w:val="14"/>
              </w:rPr>
              <w:t>Overfitted to academic essays; fails on commercial metrics like ARR, CAC, valuation.</w:t>
            </w:r>
          </w:p>
        </w:tc>
      </w:tr>
      <w:tr>
        <w:tc>
          <w:tcPr>
            <w:tcW w:type="dxa" w:w="1170"/>
            <w:tcMar>
              <w:top w:w="40" w:type="dxa"/>
              <w:bottom w:w="40" w:type="dxa"/>
              <w:left w:w="50" w:type="dxa"/>
              <w:right w:w="50" w:type="dxa"/>
            </w:tcMar>
          </w:tcPr>
          <w:p>
            <w:r>
              <w:rPr>
                <w:rFonts w:ascii="Times New Roman" w:hAnsi="Times New Roman"/>
                <w:sz w:val="14"/>
              </w:rPr>
              <w:t>7</w:t>
            </w:r>
          </w:p>
        </w:tc>
        <w:tc>
          <w:tcPr>
            <w:tcW w:type="dxa" w:w="1170"/>
            <w:tcMar>
              <w:top w:w="40" w:type="dxa"/>
              <w:bottom w:w="40" w:type="dxa"/>
              <w:left w:w="50" w:type="dxa"/>
              <w:right w:w="50" w:type="dxa"/>
            </w:tcMar>
          </w:tcPr>
          <w:p>
            <w:r>
              <w:rPr>
                <w:rFonts w:ascii="Times New Roman" w:hAnsi="Times New Roman"/>
                <w:sz w:val="14"/>
              </w:rPr>
              <w:t>[7]</w:t>
            </w:r>
          </w:p>
        </w:tc>
        <w:tc>
          <w:tcPr>
            <w:tcW w:type="dxa" w:w="1170"/>
            <w:tcMar>
              <w:top w:w="40" w:type="dxa"/>
              <w:bottom w:w="40" w:type="dxa"/>
              <w:left w:w="50" w:type="dxa"/>
              <w:right w:w="50" w:type="dxa"/>
            </w:tcMar>
          </w:tcPr>
          <w:p>
            <w:r>
              <w:rPr>
                <w:rFonts w:ascii="Times New Roman" w:hAnsi="Times New Roman"/>
                <w:sz w:val="14"/>
              </w:rPr>
              <w:t>Aamodt &amp; Plaza (1994)</w:t>
            </w:r>
          </w:p>
        </w:tc>
        <w:tc>
          <w:tcPr>
            <w:tcW w:type="dxa" w:w="1170"/>
            <w:tcMar>
              <w:top w:w="40" w:type="dxa"/>
              <w:bottom w:w="40" w:type="dxa"/>
              <w:left w:w="50" w:type="dxa"/>
              <w:right w:w="50" w:type="dxa"/>
            </w:tcMar>
          </w:tcPr>
          <w:p>
            <w:r>
              <w:rPr>
                <w:rFonts w:ascii="Times New Roman" w:hAnsi="Times New Roman"/>
                <w:sz w:val="14"/>
              </w:rPr>
              <w:t>Case-Based Reasoning Foundational Issues</w:t>
            </w:r>
          </w:p>
        </w:tc>
        <w:tc>
          <w:tcPr>
            <w:tcW w:type="dxa" w:w="1170"/>
            <w:tcMar>
              <w:top w:w="40" w:type="dxa"/>
              <w:bottom w:w="40" w:type="dxa"/>
              <w:left w:w="50" w:type="dxa"/>
              <w:right w:w="50" w:type="dxa"/>
            </w:tcMar>
          </w:tcPr>
          <w:p>
            <w:r>
              <w:rPr>
                <w:rFonts w:ascii="Times New Roman" w:hAnsi="Times New Roman"/>
                <w:sz w:val="14"/>
              </w:rPr>
              <w:t>4-stage CBR cycle (Retrieve, Reuse, Revise, Retain)</w:t>
            </w:r>
          </w:p>
        </w:tc>
        <w:tc>
          <w:tcPr>
            <w:tcW w:type="dxa" w:w="1170"/>
            <w:tcMar>
              <w:top w:w="40" w:type="dxa"/>
              <w:bottom w:w="40" w:type="dxa"/>
              <w:left w:w="50" w:type="dxa"/>
              <w:right w:w="50" w:type="dxa"/>
            </w:tcMar>
          </w:tcPr>
          <w:p>
            <w:r>
              <w:rPr>
                <w:rFonts w:ascii="Times New Roman" w:hAnsi="Times New Roman"/>
                <w:sz w:val="14"/>
              </w:rPr>
              <w:t>Benchmark cases</w:t>
            </w:r>
          </w:p>
        </w:tc>
        <w:tc>
          <w:tcPr>
            <w:tcW w:type="dxa" w:w="1170"/>
            <w:tcMar>
              <w:top w:w="40" w:type="dxa"/>
              <w:bottom w:w="40" w:type="dxa"/>
              <w:left w:w="50" w:type="dxa"/>
              <w:right w:w="50" w:type="dxa"/>
            </w:tcMar>
          </w:tcPr>
          <w:p>
            <w:r>
              <w:rPr>
                <w:rFonts w:ascii="Times New Roman" w:hAnsi="Times New Roman"/>
                <w:sz w:val="14"/>
              </w:rPr>
              <w:t>Cognitive modeling proof</w:t>
            </w:r>
          </w:p>
        </w:tc>
        <w:tc>
          <w:tcPr>
            <w:tcW w:type="dxa" w:w="1170"/>
            <w:tcMar>
              <w:top w:w="40" w:type="dxa"/>
              <w:bottom w:w="40" w:type="dxa"/>
              <w:left w:w="50" w:type="dxa"/>
              <w:right w:w="50" w:type="dxa"/>
            </w:tcMar>
          </w:tcPr>
          <w:p>
            <w:r>
              <w:rPr>
                <w:rFonts w:ascii="Times New Roman" w:hAnsi="Times New Roman"/>
                <w:sz w:val="14"/>
              </w:rPr>
              <w:t>Relied on manual ontologies; lacked lightweight web implementations.</w:t>
            </w:r>
          </w:p>
        </w:tc>
      </w:tr>
      <w:tr>
        <w:tc>
          <w:tcPr>
            <w:tcW w:type="dxa" w:w="1170"/>
            <w:tcMar>
              <w:top w:w="40" w:type="dxa"/>
              <w:bottom w:w="40" w:type="dxa"/>
              <w:left w:w="50" w:type="dxa"/>
              <w:right w:w="50" w:type="dxa"/>
            </w:tcMar>
          </w:tcPr>
          <w:p>
            <w:r>
              <w:rPr>
                <w:rFonts w:ascii="Times New Roman" w:hAnsi="Times New Roman"/>
                <w:sz w:val="14"/>
              </w:rPr>
              <w:t>8</w:t>
            </w:r>
          </w:p>
        </w:tc>
        <w:tc>
          <w:tcPr>
            <w:tcW w:type="dxa" w:w="1170"/>
            <w:tcMar>
              <w:top w:w="40" w:type="dxa"/>
              <w:bottom w:w="40" w:type="dxa"/>
              <w:left w:w="50" w:type="dxa"/>
              <w:right w:w="50" w:type="dxa"/>
            </w:tcMar>
          </w:tcPr>
          <w:p>
            <w:r>
              <w:rPr>
                <w:rFonts w:ascii="Times New Roman" w:hAnsi="Times New Roman"/>
                <w:sz w:val="14"/>
              </w:rPr>
              <w:t>[8]</w:t>
            </w:r>
          </w:p>
        </w:tc>
        <w:tc>
          <w:tcPr>
            <w:tcW w:type="dxa" w:w="1170"/>
            <w:tcMar>
              <w:top w:w="40" w:type="dxa"/>
              <w:bottom w:w="40" w:type="dxa"/>
              <w:left w:w="50" w:type="dxa"/>
              <w:right w:w="50" w:type="dxa"/>
            </w:tcMar>
          </w:tcPr>
          <w:p>
            <w:r>
              <w:rPr>
                <w:rFonts w:ascii="Times New Roman" w:hAnsi="Times New Roman"/>
                <w:sz w:val="14"/>
              </w:rPr>
              <w:t>Lewis et al. (2020)</w:t>
            </w:r>
          </w:p>
        </w:tc>
        <w:tc>
          <w:tcPr>
            <w:tcW w:type="dxa" w:w="1170"/>
            <w:tcMar>
              <w:top w:w="40" w:type="dxa"/>
              <w:bottom w:w="40" w:type="dxa"/>
              <w:left w:w="50" w:type="dxa"/>
              <w:right w:w="50" w:type="dxa"/>
            </w:tcMar>
          </w:tcPr>
          <w:p>
            <w:r>
              <w:rPr>
                <w:rFonts w:ascii="Times New Roman" w:hAnsi="Times New Roman"/>
                <w:sz w:val="14"/>
              </w:rPr>
              <w:t>Retrieval-Augmented Generation for NLP</w:t>
            </w:r>
          </w:p>
        </w:tc>
        <w:tc>
          <w:tcPr>
            <w:tcW w:type="dxa" w:w="1170"/>
            <w:tcMar>
              <w:top w:w="40" w:type="dxa"/>
              <w:bottom w:w="40" w:type="dxa"/>
              <w:left w:w="50" w:type="dxa"/>
              <w:right w:w="50" w:type="dxa"/>
            </w:tcMar>
          </w:tcPr>
          <w:p>
            <w:r>
              <w:rPr>
                <w:rFonts w:ascii="Times New Roman" w:hAnsi="Times New Roman"/>
                <w:sz w:val="14"/>
              </w:rPr>
              <w:t>Dense passage retrieval (DPR) + BART generator</w:t>
            </w:r>
          </w:p>
        </w:tc>
        <w:tc>
          <w:tcPr>
            <w:tcW w:type="dxa" w:w="1170"/>
            <w:tcMar>
              <w:top w:w="40" w:type="dxa"/>
              <w:bottom w:w="40" w:type="dxa"/>
              <w:left w:w="50" w:type="dxa"/>
              <w:right w:w="50" w:type="dxa"/>
            </w:tcMar>
          </w:tcPr>
          <w:p>
            <w:r>
              <w:rPr>
                <w:rFonts w:ascii="Times New Roman" w:hAnsi="Times New Roman"/>
                <w:sz w:val="14"/>
              </w:rPr>
              <w:t>Wikipedia QA</w:t>
            </w:r>
          </w:p>
        </w:tc>
        <w:tc>
          <w:tcPr>
            <w:tcW w:type="dxa" w:w="1170"/>
            <w:tcMar>
              <w:top w:w="40" w:type="dxa"/>
              <w:bottom w:w="40" w:type="dxa"/>
              <w:left w:w="50" w:type="dxa"/>
              <w:right w:w="50" w:type="dxa"/>
            </w:tcMar>
          </w:tcPr>
          <w:p>
            <w:r>
              <w:rPr>
                <w:rFonts w:ascii="Times New Roman" w:hAnsi="Times New Roman"/>
                <w:sz w:val="14"/>
              </w:rPr>
              <w:t>60%+ hallucination drop</w:t>
            </w:r>
          </w:p>
        </w:tc>
        <w:tc>
          <w:tcPr>
            <w:tcW w:type="dxa" w:w="1170"/>
            <w:tcMar>
              <w:top w:w="40" w:type="dxa"/>
              <w:bottom w:w="40" w:type="dxa"/>
              <w:left w:w="50" w:type="dxa"/>
              <w:right w:w="50" w:type="dxa"/>
            </w:tcMar>
          </w:tcPr>
          <w:p>
            <w:r>
              <w:rPr>
                <w:rFonts w:ascii="Times New Roman" w:hAnsi="Times New Roman"/>
                <w:sz w:val="14"/>
              </w:rPr>
              <w:t>Requires multi-GB vector databases and cloud GPUs; expensive to deploy.</w:t>
            </w:r>
          </w:p>
        </w:tc>
      </w:tr>
      <w:tr>
        <w:tc>
          <w:tcPr>
            <w:tcW w:type="dxa" w:w="1170"/>
            <w:tcMar>
              <w:top w:w="40" w:type="dxa"/>
              <w:bottom w:w="40" w:type="dxa"/>
              <w:left w:w="50" w:type="dxa"/>
              <w:right w:w="50" w:type="dxa"/>
            </w:tcMar>
          </w:tcPr>
          <w:p>
            <w:r>
              <w:rPr>
                <w:rFonts w:ascii="Times New Roman" w:hAnsi="Times New Roman"/>
                <w:sz w:val="14"/>
              </w:rPr>
              <w:t>9</w:t>
            </w:r>
          </w:p>
        </w:tc>
        <w:tc>
          <w:tcPr>
            <w:tcW w:type="dxa" w:w="1170"/>
            <w:tcMar>
              <w:top w:w="40" w:type="dxa"/>
              <w:bottom w:w="40" w:type="dxa"/>
              <w:left w:w="50" w:type="dxa"/>
              <w:right w:w="50" w:type="dxa"/>
            </w:tcMar>
          </w:tcPr>
          <w:p>
            <w:r>
              <w:rPr>
                <w:rFonts w:ascii="Times New Roman" w:hAnsi="Times New Roman"/>
                <w:sz w:val="14"/>
              </w:rPr>
              <w:t>[9]</w:t>
            </w:r>
          </w:p>
        </w:tc>
        <w:tc>
          <w:tcPr>
            <w:tcW w:type="dxa" w:w="1170"/>
            <w:tcMar>
              <w:top w:w="40" w:type="dxa"/>
              <w:bottom w:w="40" w:type="dxa"/>
              <w:left w:w="50" w:type="dxa"/>
              <w:right w:w="50" w:type="dxa"/>
            </w:tcMar>
          </w:tcPr>
          <w:p>
            <w:r>
              <w:rPr>
                <w:rFonts w:ascii="Times New Roman" w:hAnsi="Times New Roman"/>
                <w:sz w:val="14"/>
              </w:rPr>
              <w:t>Warschauer &amp; Ware (2006)</w:t>
            </w:r>
          </w:p>
        </w:tc>
        <w:tc>
          <w:tcPr>
            <w:tcW w:type="dxa" w:w="1170"/>
            <w:tcMar>
              <w:top w:w="40" w:type="dxa"/>
              <w:bottom w:w="40" w:type="dxa"/>
              <w:left w:w="50" w:type="dxa"/>
              <w:right w:w="50" w:type="dxa"/>
            </w:tcMar>
          </w:tcPr>
          <w:p>
            <w:r>
              <w:rPr>
                <w:rFonts w:ascii="Times New Roman" w:hAnsi="Times New Roman"/>
                <w:sz w:val="14"/>
              </w:rPr>
              <w:t>Automated Writing Evaluation in Education</w:t>
            </w:r>
          </w:p>
        </w:tc>
        <w:tc>
          <w:tcPr>
            <w:tcW w:type="dxa" w:w="1170"/>
            <w:tcMar>
              <w:top w:w="40" w:type="dxa"/>
              <w:bottom w:w="40" w:type="dxa"/>
              <w:left w:w="50" w:type="dxa"/>
              <w:right w:w="50" w:type="dxa"/>
            </w:tcMar>
          </w:tcPr>
          <w:p>
            <w:r>
              <w:rPr>
                <w:rFonts w:ascii="Times New Roman" w:hAnsi="Times New Roman"/>
                <w:sz w:val="14"/>
              </w:rPr>
              <w:t>Formative vs summative diagnostic feedback</w:t>
            </w:r>
          </w:p>
        </w:tc>
        <w:tc>
          <w:tcPr>
            <w:tcW w:type="dxa" w:w="1170"/>
            <w:tcMar>
              <w:top w:w="40" w:type="dxa"/>
              <w:bottom w:w="40" w:type="dxa"/>
              <w:left w:w="50" w:type="dxa"/>
              <w:right w:w="50" w:type="dxa"/>
            </w:tcMar>
          </w:tcPr>
          <w:p>
            <w:r>
              <w:rPr>
                <w:rFonts w:ascii="Times New Roman" w:hAnsi="Times New Roman"/>
                <w:sz w:val="14"/>
              </w:rPr>
              <w:t>500+ tasks</w:t>
            </w:r>
          </w:p>
        </w:tc>
        <w:tc>
          <w:tcPr>
            <w:tcW w:type="dxa" w:w="1170"/>
            <w:tcMar>
              <w:top w:w="40" w:type="dxa"/>
              <w:bottom w:w="40" w:type="dxa"/>
              <w:left w:w="50" w:type="dxa"/>
              <w:right w:w="50" w:type="dxa"/>
            </w:tcMar>
          </w:tcPr>
          <w:p>
            <w:r>
              <w:rPr>
                <w:rFonts w:ascii="Times New Roman" w:hAnsi="Times New Roman"/>
                <w:sz w:val="14"/>
              </w:rPr>
              <w:t>42% higher revision gain</w:t>
            </w:r>
          </w:p>
        </w:tc>
        <w:tc>
          <w:tcPr>
            <w:tcW w:type="dxa" w:w="1170"/>
            <w:tcMar>
              <w:top w:w="40" w:type="dxa"/>
              <w:bottom w:w="40" w:type="dxa"/>
              <w:left w:w="50" w:type="dxa"/>
              <w:right w:w="50" w:type="dxa"/>
            </w:tcMar>
          </w:tcPr>
          <w:p>
            <w:r>
              <w:rPr>
                <w:rFonts w:ascii="Times New Roman" w:hAnsi="Times New Roman"/>
                <w:sz w:val="14"/>
              </w:rPr>
              <w:t>Focused on generic school grammar, not commercial persuasion or sales enablement.</w:t>
            </w:r>
          </w:p>
        </w:tc>
      </w:tr>
      <w:tr>
        <w:tc>
          <w:tcPr>
            <w:tcW w:type="dxa" w:w="1170"/>
            <w:tcMar>
              <w:top w:w="40" w:type="dxa"/>
              <w:bottom w:w="40" w:type="dxa"/>
              <w:left w:w="50" w:type="dxa"/>
              <w:right w:w="50" w:type="dxa"/>
            </w:tcMar>
          </w:tcPr>
          <w:p>
            <w:r>
              <w:rPr>
                <w:rFonts w:ascii="Times New Roman" w:hAnsi="Times New Roman"/>
                <w:sz w:val="14"/>
              </w:rPr>
              <w:t>10</w:t>
            </w:r>
          </w:p>
        </w:tc>
        <w:tc>
          <w:tcPr>
            <w:tcW w:type="dxa" w:w="1170"/>
            <w:tcMar>
              <w:top w:w="40" w:type="dxa"/>
              <w:bottom w:w="40" w:type="dxa"/>
              <w:left w:w="50" w:type="dxa"/>
              <w:right w:w="50" w:type="dxa"/>
            </w:tcMar>
          </w:tcPr>
          <w:p>
            <w:r>
              <w:rPr>
                <w:rFonts w:ascii="Times New Roman" w:hAnsi="Times New Roman"/>
                <w:sz w:val="14"/>
              </w:rPr>
              <w:t>[10]</w:t>
            </w:r>
          </w:p>
        </w:tc>
        <w:tc>
          <w:tcPr>
            <w:tcW w:type="dxa" w:w="1170"/>
            <w:tcMar>
              <w:top w:w="40" w:type="dxa"/>
              <w:bottom w:w="40" w:type="dxa"/>
              <w:left w:w="50" w:type="dxa"/>
              <w:right w:w="50" w:type="dxa"/>
            </w:tcMar>
          </w:tcPr>
          <w:p>
            <w:r>
              <w:rPr>
                <w:rFonts w:ascii="Times New Roman" w:hAnsi="Times New Roman"/>
                <w:sz w:val="14"/>
              </w:rPr>
              <w:t>Reiter &amp; Dale (2000)</w:t>
            </w:r>
          </w:p>
        </w:tc>
        <w:tc>
          <w:tcPr>
            <w:tcW w:type="dxa" w:w="1170"/>
            <w:tcMar>
              <w:top w:w="40" w:type="dxa"/>
              <w:bottom w:w="40" w:type="dxa"/>
              <w:left w:w="50" w:type="dxa"/>
              <w:right w:w="50" w:type="dxa"/>
            </w:tcMar>
          </w:tcPr>
          <w:p>
            <w:r>
              <w:rPr>
                <w:rFonts w:ascii="Times New Roman" w:hAnsi="Times New Roman"/>
                <w:sz w:val="14"/>
              </w:rPr>
              <w:t>Building Natural Language Generation Systems</w:t>
            </w:r>
          </w:p>
        </w:tc>
        <w:tc>
          <w:tcPr>
            <w:tcW w:type="dxa" w:w="1170"/>
            <w:tcMar>
              <w:top w:w="40" w:type="dxa"/>
              <w:bottom w:w="40" w:type="dxa"/>
              <w:left w:w="50" w:type="dxa"/>
              <w:right w:w="50" w:type="dxa"/>
            </w:tcMar>
          </w:tcPr>
          <w:p>
            <w:r>
              <w:rPr>
                <w:rFonts w:ascii="Times New Roman" w:hAnsi="Times New Roman"/>
                <w:sz w:val="14"/>
              </w:rPr>
              <w:t>NLG pipeline: Planning, microplanning, realization</w:t>
            </w:r>
          </w:p>
        </w:tc>
        <w:tc>
          <w:tcPr>
            <w:tcW w:type="dxa" w:w="1170"/>
            <w:tcMar>
              <w:top w:w="40" w:type="dxa"/>
              <w:bottom w:w="40" w:type="dxa"/>
              <w:left w:w="50" w:type="dxa"/>
              <w:right w:w="50" w:type="dxa"/>
            </w:tcMar>
          </w:tcPr>
          <w:p>
            <w:r>
              <w:rPr>
                <w:rFonts w:ascii="Times New Roman" w:hAnsi="Times New Roman"/>
                <w:sz w:val="14"/>
              </w:rPr>
              <w:t>Report templates</w:t>
            </w:r>
          </w:p>
        </w:tc>
        <w:tc>
          <w:tcPr>
            <w:tcW w:type="dxa" w:w="1170"/>
            <w:tcMar>
              <w:top w:w="40" w:type="dxa"/>
              <w:bottom w:w="40" w:type="dxa"/>
              <w:left w:w="50" w:type="dxa"/>
              <w:right w:w="50" w:type="dxa"/>
            </w:tcMar>
          </w:tcPr>
          <w:p>
            <w:r>
              <w:rPr>
                <w:rFonts w:ascii="Times New Roman" w:hAnsi="Times New Roman"/>
                <w:sz w:val="14"/>
              </w:rPr>
              <w:t>100% factual determinism</w:t>
            </w:r>
          </w:p>
        </w:tc>
        <w:tc>
          <w:tcPr>
            <w:tcW w:type="dxa" w:w="1170"/>
            <w:tcMar>
              <w:top w:w="40" w:type="dxa"/>
              <w:bottom w:w="40" w:type="dxa"/>
              <w:left w:w="50" w:type="dxa"/>
              <w:right w:w="50" w:type="dxa"/>
            </w:tcMar>
          </w:tcPr>
          <w:p>
            <w:r>
              <w:rPr>
                <w:rFonts w:ascii="Times New Roman" w:hAnsi="Times New Roman"/>
                <w:sz w:val="14"/>
              </w:rPr>
              <w:t>Template systems can feel rigid if slot extractors lack domain entity detection.</w:t>
            </w:r>
          </w:p>
        </w:tc>
      </w:tr>
      <w:tr>
        <w:tc>
          <w:tcPr>
            <w:tcW w:type="dxa" w:w="1170"/>
            <w:tcMar>
              <w:top w:w="40" w:type="dxa"/>
              <w:bottom w:w="40" w:type="dxa"/>
              <w:left w:w="50" w:type="dxa"/>
              <w:right w:w="50" w:type="dxa"/>
            </w:tcMar>
          </w:tcPr>
          <w:p>
            <w:r>
              <w:rPr>
                <w:rFonts w:ascii="Times New Roman" w:hAnsi="Times New Roman"/>
                <w:sz w:val="14"/>
              </w:rPr>
              <w:t>11</w:t>
            </w:r>
          </w:p>
        </w:tc>
        <w:tc>
          <w:tcPr>
            <w:tcW w:type="dxa" w:w="1170"/>
            <w:tcMar>
              <w:top w:w="40" w:type="dxa"/>
              <w:bottom w:w="40" w:type="dxa"/>
              <w:left w:w="50" w:type="dxa"/>
              <w:right w:w="50" w:type="dxa"/>
            </w:tcMar>
          </w:tcPr>
          <w:p>
            <w:r>
              <w:rPr>
                <w:rFonts w:ascii="Times New Roman" w:hAnsi="Times New Roman"/>
                <w:sz w:val="14"/>
              </w:rPr>
              <w:t>[11]</w:t>
            </w:r>
          </w:p>
        </w:tc>
        <w:tc>
          <w:tcPr>
            <w:tcW w:type="dxa" w:w="1170"/>
            <w:tcMar>
              <w:top w:w="40" w:type="dxa"/>
              <w:bottom w:w="40" w:type="dxa"/>
              <w:left w:w="50" w:type="dxa"/>
              <w:right w:w="50" w:type="dxa"/>
            </w:tcMar>
          </w:tcPr>
          <w:p>
            <w:r>
              <w:rPr>
                <w:rFonts w:ascii="Times New Roman" w:hAnsi="Times New Roman"/>
                <w:sz w:val="14"/>
              </w:rPr>
              <w:t>Sharma et al. (2023)</w:t>
            </w:r>
          </w:p>
        </w:tc>
        <w:tc>
          <w:tcPr>
            <w:tcW w:type="dxa" w:w="1170"/>
            <w:tcMar>
              <w:top w:w="40" w:type="dxa"/>
              <w:bottom w:w="40" w:type="dxa"/>
              <w:left w:w="50" w:type="dxa"/>
              <w:right w:w="50" w:type="dxa"/>
            </w:tcMar>
          </w:tcPr>
          <w:p>
            <w:r>
              <w:rPr>
                <w:rFonts w:ascii="Times New Roman" w:hAnsi="Times New Roman"/>
                <w:sz w:val="14"/>
              </w:rPr>
              <w:t>Understanding Sycophancy in LLMs</w:t>
            </w:r>
          </w:p>
        </w:tc>
        <w:tc>
          <w:tcPr>
            <w:tcW w:type="dxa" w:w="1170"/>
            <w:tcMar>
              <w:top w:w="40" w:type="dxa"/>
              <w:bottom w:w="40" w:type="dxa"/>
              <w:left w:w="50" w:type="dxa"/>
              <w:right w:w="50" w:type="dxa"/>
            </w:tcMar>
          </w:tcPr>
          <w:p>
            <w:r>
              <w:rPr>
                <w:rFonts w:ascii="Times New Roman" w:hAnsi="Times New Roman"/>
                <w:sz w:val="14"/>
              </w:rPr>
              <w:t>Behavioral prompt testing of RLHF models</w:t>
            </w:r>
          </w:p>
        </w:tc>
        <w:tc>
          <w:tcPr>
            <w:tcW w:type="dxa" w:w="1170"/>
            <w:tcMar>
              <w:top w:w="40" w:type="dxa"/>
              <w:bottom w:w="40" w:type="dxa"/>
              <w:left w:w="50" w:type="dxa"/>
              <w:right w:w="50" w:type="dxa"/>
            </w:tcMar>
          </w:tcPr>
          <w:p>
            <w:r>
              <w:rPr>
                <w:rFonts w:ascii="Times New Roman" w:hAnsi="Times New Roman"/>
                <w:sz w:val="14"/>
              </w:rPr>
              <w:t>Diverse prompts</w:t>
            </w:r>
          </w:p>
        </w:tc>
        <w:tc>
          <w:tcPr>
            <w:tcW w:type="dxa" w:w="1170"/>
            <w:tcMar>
              <w:top w:w="40" w:type="dxa"/>
              <w:bottom w:w="40" w:type="dxa"/>
              <w:left w:w="50" w:type="dxa"/>
              <w:right w:w="50" w:type="dxa"/>
            </w:tcMar>
          </w:tcPr>
          <w:p>
            <w:r>
              <w:rPr>
                <w:rFonts w:ascii="Times New Roman" w:hAnsi="Times New Roman"/>
                <w:sz w:val="14"/>
              </w:rPr>
              <w:t>Quantified sycophancy</w:t>
            </w:r>
          </w:p>
        </w:tc>
        <w:tc>
          <w:tcPr>
            <w:tcW w:type="dxa" w:w="1170"/>
            <w:tcMar>
              <w:top w:w="40" w:type="dxa"/>
              <w:bottom w:w="40" w:type="dxa"/>
              <w:left w:w="50" w:type="dxa"/>
              <w:right w:w="50" w:type="dxa"/>
            </w:tcMar>
          </w:tcPr>
          <w:p>
            <w:r>
              <w:rPr>
                <w:rFonts w:ascii="Times New Roman" w:hAnsi="Times New Roman"/>
                <w:sz w:val="14"/>
              </w:rPr>
              <w:t>Proved LLMs flatter users, making them unfit for candid pitch critiques.</w:t>
            </w:r>
          </w:p>
        </w:tc>
      </w:tr>
      <w:tr>
        <w:tc>
          <w:tcPr>
            <w:tcW w:type="dxa" w:w="1170"/>
            <w:tcMar>
              <w:top w:w="40" w:type="dxa"/>
              <w:bottom w:w="40" w:type="dxa"/>
              <w:left w:w="50" w:type="dxa"/>
              <w:right w:w="50" w:type="dxa"/>
            </w:tcMar>
          </w:tcPr>
          <w:p>
            <w:r>
              <w:rPr>
                <w:rFonts w:ascii="Times New Roman" w:hAnsi="Times New Roman"/>
                <w:sz w:val="14"/>
              </w:rPr>
              <w:t>12</w:t>
            </w:r>
          </w:p>
        </w:tc>
        <w:tc>
          <w:tcPr>
            <w:tcW w:type="dxa" w:w="1170"/>
            <w:tcMar>
              <w:top w:w="40" w:type="dxa"/>
              <w:bottom w:w="40" w:type="dxa"/>
              <w:left w:w="50" w:type="dxa"/>
              <w:right w:w="50" w:type="dxa"/>
            </w:tcMar>
          </w:tcPr>
          <w:p>
            <w:r>
              <w:rPr>
                <w:rFonts w:ascii="Times New Roman" w:hAnsi="Times New Roman"/>
                <w:sz w:val="14"/>
              </w:rPr>
              <w:t>[12]</w:t>
            </w:r>
          </w:p>
        </w:tc>
        <w:tc>
          <w:tcPr>
            <w:tcW w:type="dxa" w:w="1170"/>
            <w:tcMar>
              <w:top w:w="40" w:type="dxa"/>
              <w:bottom w:w="40" w:type="dxa"/>
              <w:left w:w="50" w:type="dxa"/>
              <w:right w:w="50" w:type="dxa"/>
            </w:tcMar>
          </w:tcPr>
          <w:p>
            <w:r>
              <w:rPr>
                <w:rFonts w:ascii="Times New Roman" w:hAnsi="Times New Roman"/>
                <w:sz w:val="14"/>
              </w:rPr>
              <w:t>Chen &amp; Patel (2024)</w:t>
            </w:r>
          </w:p>
        </w:tc>
        <w:tc>
          <w:tcPr>
            <w:tcW w:type="dxa" w:w="1170"/>
            <w:tcMar>
              <w:top w:w="40" w:type="dxa"/>
              <w:bottom w:w="40" w:type="dxa"/>
              <w:left w:w="50" w:type="dxa"/>
              <w:right w:w="50" w:type="dxa"/>
            </w:tcMar>
          </w:tcPr>
          <w:p>
            <w:r>
              <w:rPr>
                <w:rFonts w:ascii="Times New Roman" w:hAnsi="Times New Roman"/>
                <w:sz w:val="14"/>
              </w:rPr>
              <w:t>Benchmarking LLMs as Oral Evaluators</w:t>
            </w:r>
          </w:p>
        </w:tc>
        <w:tc>
          <w:tcPr>
            <w:tcW w:type="dxa" w:w="1170"/>
            <w:tcMar>
              <w:top w:w="40" w:type="dxa"/>
              <w:bottom w:w="40" w:type="dxa"/>
              <w:left w:w="50" w:type="dxa"/>
              <w:right w:w="50" w:type="dxa"/>
            </w:tcMar>
          </w:tcPr>
          <w:p>
            <w:r>
              <w:rPr>
                <w:rFonts w:ascii="Times New Roman" w:hAnsi="Times New Roman"/>
                <w:sz w:val="14"/>
              </w:rPr>
              <w:t>Few-shot prompting across GPT-4, Claude, Gemini</w:t>
            </w:r>
          </w:p>
        </w:tc>
        <w:tc>
          <w:tcPr>
            <w:tcW w:type="dxa" w:w="1170"/>
            <w:tcMar>
              <w:top w:w="40" w:type="dxa"/>
              <w:bottom w:w="40" w:type="dxa"/>
              <w:left w:w="50" w:type="dxa"/>
              <w:right w:w="50" w:type="dxa"/>
            </w:tcMar>
          </w:tcPr>
          <w:p>
            <w:r>
              <w:rPr>
                <w:rFonts w:ascii="Times New Roman" w:hAnsi="Times New Roman"/>
                <w:sz w:val="14"/>
              </w:rPr>
              <w:t>150 presentations</w:t>
            </w:r>
          </w:p>
        </w:tc>
        <w:tc>
          <w:tcPr>
            <w:tcW w:type="dxa" w:w="1170"/>
            <w:tcMar>
              <w:top w:w="40" w:type="dxa"/>
              <w:bottom w:w="40" w:type="dxa"/>
              <w:left w:w="50" w:type="dxa"/>
              <w:right w:w="50" w:type="dxa"/>
            </w:tcMar>
          </w:tcPr>
          <w:p>
            <w:r>
              <w:rPr>
                <w:rFonts w:ascii="Times New Roman" w:hAnsi="Times New Roman"/>
                <w:sz w:val="14"/>
              </w:rPr>
              <w:t>±18 pt std deviation</w:t>
            </w:r>
          </w:p>
        </w:tc>
        <w:tc>
          <w:tcPr>
            <w:tcW w:type="dxa" w:w="1170"/>
            <w:tcMar>
              <w:top w:w="40" w:type="dxa"/>
              <w:bottom w:w="40" w:type="dxa"/>
              <w:left w:w="50" w:type="dxa"/>
              <w:right w:w="50" w:type="dxa"/>
            </w:tcMar>
          </w:tcPr>
          <w:p>
            <w:r>
              <w:rPr>
                <w:rFonts w:ascii="Times New Roman" w:hAnsi="Times New Roman"/>
                <w:sz w:val="14"/>
              </w:rPr>
              <w:t>High cloud latency (3-8s), token costs, and score instability across identical runs.</w:t>
            </w:r>
          </w:p>
        </w:tc>
      </w:tr>
    </w:tbl>
    <w:p>
      <w:pPr>
        <w:spacing w:before="240" w:after="80"/>
      </w:pPr>
      <w:r>
        <w:rPr>
          <w:rFonts w:ascii="Times New Roman" w:hAnsi="Times New Roman"/>
          <w:b/>
          <w:sz w:val="22"/>
        </w:rPr>
        <w:t>III. RESEARCH GAPS</w:t>
      </w:r>
    </w:p>
    <w:p>
      <w:pPr>
        <w:spacing w:after="100"/>
        <w:ind w:firstLine="288"/>
        <w:jc w:val="both"/>
      </w:pPr>
      <w:r>
        <w:rPr>
          <w:rFonts w:ascii="Times New Roman" w:hAnsi="Times New Roman"/>
          <w:sz w:val="20"/>
        </w:rPr>
        <w:t>Based on the literature review, we identified four critical research gaps:</w:t>
      </w:r>
    </w:p>
    <w:p>
      <w:pPr>
        <w:spacing w:after="100"/>
        <w:jc w:val="both"/>
      </w:pPr>
      <w:r>
        <w:rPr>
          <w:rFonts w:ascii="Times New Roman" w:hAnsi="Times New Roman"/>
          <w:sz w:val="20"/>
        </w:rPr>
        <w:t>1. The Delivery vs. Content Gap: Current speech coaching software focuses entirely on acoustic prosody (cadence, pauses, filler words). They cannot detect whether a pitch contains a validated customer problem, empirical traction, or a call-to-action.</w:t>
      </w:r>
    </w:p>
    <w:p>
      <w:pPr>
        <w:spacing w:after="100"/>
        <w:jc w:val="both"/>
      </w:pPr>
      <w:r>
        <w:rPr>
          <w:rFonts w:ascii="Times New Roman" w:hAnsi="Times New Roman"/>
          <w:sz w:val="20"/>
        </w:rPr>
        <w:t>2. Inconsistent Scoring &amp; Sycophancy in LLMs: Conversational LLMs tend to flatter users with unearned compliments and exhibit ±18 point score swings on identical inputs, making them unreliable for objective evaluation.</w:t>
      </w:r>
    </w:p>
    <w:p>
      <w:pPr>
        <w:spacing w:after="100"/>
        <w:jc w:val="both"/>
      </w:pPr>
      <w:r>
        <w:rPr>
          <w:rFonts w:ascii="Times New Roman" w:hAnsi="Times New Roman"/>
          <w:sz w:val="20"/>
        </w:rPr>
        <w:t>3. Absence of Real-World Deal Grounding: Traditional writing evaluators assess text in a vacuum without referencing real-world commercial outcomes or funded venture precedents.</w:t>
      </w:r>
    </w:p>
    <w:p>
      <w:pPr>
        <w:spacing w:after="100"/>
        <w:jc w:val="both"/>
      </w:pPr>
      <w:r>
        <w:rPr>
          <w:rFonts w:ascii="Times New Roman" w:hAnsi="Times New Roman"/>
          <w:sz w:val="20"/>
        </w:rPr>
        <w:t>4. Infrastructure Latency, Cost, and Privacy Risks: Existing neural NLP pipelines require remote cloud GPUs, creating 3 to 8 seconds of latency and exposing confidential startup ideas to third-party server logging.</w:t>
      </w:r>
    </w:p>
    <w:p>
      <w:pPr>
        <w:spacing w:before="240" w:after="80"/>
      </w:pPr>
      <w:r>
        <w:rPr>
          <w:rFonts w:ascii="Times New Roman" w:hAnsi="Times New Roman"/>
          <w:b/>
          <w:sz w:val="22"/>
        </w:rPr>
        <w:t>IV. PROPOSED SYSTEM (PITCHIQ)</w:t>
      </w:r>
    </w:p>
    <w:p>
      <w:pPr>
        <w:spacing w:after="100"/>
        <w:ind w:firstLine="288"/>
        <w:jc w:val="both"/>
      </w:pPr>
      <w:r>
        <w:rPr>
          <w:rFonts w:ascii="Times New Roman" w:hAnsi="Times New Roman"/>
          <w:sz w:val="20"/>
        </w:rPr>
        <w:t>To bridge these gaps, we engineered PitchIQ as a fast, client-side web application:</w:t>
      </w:r>
    </w:p>
    <w:p>
      <w:pPr>
        <w:spacing w:after="100"/>
        <w:ind w:firstLine="288"/>
        <w:jc w:val="both"/>
      </w:pPr>
      <w:r>
        <w:rPr>
          <w:rFonts w:ascii="Times New Roman" w:hAnsi="Times New Roman"/>
          <w:sz w:val="20"/>
        </w:rPr>
        <w:t>1. Deterministic 6-Axis Rubric: Evaluates Clarity, Hook Quality (&lt;=12 words), Structure (Problem -&gt; Solution -&gt; Traction -&gt; CTA), Persuasiveness (empirical numbers and moats), Call-to-Action (active closing verbs), and Confidence (declarative phrasing, penalizing hedge words).</w:t>
      </w:r>
    </w:p>
    <w:p>
      <w:pPr>
        <w:spacing w:after="100"/>
        <w:ind w:firstLine="288"/>
        <w:jc w:val="both"/>
      </w:pPr>
      <w:r>
        <w:rPr>
          <w:rFonts w:ascii="Times New Roman" w:hAnsi="Times New Roman"/>
          <w:sz w:val="20"/>
        </w:rPr>
        <w:t>2. Deal Precedent Matching (CBR): Indexes 200+ Shark Tank deals to retrieve the closest funded benchmark and rejected cautionary deal via Jaccard token overlap in under 10ms.</w:t>
      </w:r>
    </w:p>
    <w:p>
      <w:pPr>
        <w:spacing w:after="100"/>
        <w:ind w:firstLine="288"/>
        <w:jc w:val="both"/>
      </w:pPr>
      <w:r>
        <w:rPr>
          <w:rFonts w:ascii="Times New Roman" w:hAnsi="Times New Roman"/>
          <w:sz w:val="20"/>
        </w:rPr>
        <w:t>3. Hallucination-Free Slot-Filling Rewrite: Extracts key domain entities and slots them into a battle-tested 5-sentence elevator pitch with zero hallucinations.</w:t>
      </w:r>
    </w:p>
    <w:p>
      <w:pPr>
        <w:spacing w:after="100"/>
        <w:ind w:firstLine="288"/>
        <w:jc w:val="both"/>
      </w:pPr>
      <w:r>
        <w:rPr>
          <w:rFonts w:ascii="Times New Roman" w:hAnsi="Times New Roman"/>
          <w:sz w:val="20"/>
        </w:rPr>
        <w:t>4. Client-Side Persistence: All parsing and history tracking execute in JavaScript using browser-local IndexedDB, ensuring zero server costs, sub-second latency, and complete privacy.</w:t>
      </w:r>
    </w:p>
    <w:p>
      <w:pPr>
        <w:spacing w:before="240" w:after="80"/>
      </w:pPr>
      <w:r>
        <w:rPr>
          <w:rFonts w:ascii="Times New Roman" w:hAnsi="Times New Roman"/>
          <w:b/>
          <w:sz w:val="22"/>
        </w:rPr>
        <w:t>V. CONCLUSION</w:t>
      </w:r>
    </w:p>
    <w:p>
      <w:pPr>
        <w:spacing w:after="100"/>
        <w:ind w:firstLine="288"/>
        <w:jc w:val="both"/>
      </w:pPr>
      <w:r>
        <w:rPr>
          <w:rFonts w:ascii="Times New Roman" w:hAnsi="Times New Roman"/>
          <w:sz w:val="20"/>
        </w:rPr>
        <w:t>This literature survey reviewed 12 foundational research papers across speech coaching, argument mining, case-based reasoning, writing evaluation, and language model evaluation biases. By unifying deterministic semantic parsing, case-based venture deal retrieval, and hallucination-free slot-filling natural language generation into a responsive React web application, PitchIQ directly bridges these research gaps.</w:t>
      </w:r>
    </w:p>
    <w:p>
      <w:pPr>
        <w:spacing w:before="240" w:after="80"/>
      </w:pPr>
      <w:r>
        <w:rPr>
          <w:rFonts w:ascii="Times New Roman" w:hAnsi="Times New Roman"/>
          <w:b/>
          <w:sz w:val="22"/>
        </w:rPr>
        <w:t>REFERENCES</w:t>
      </w:r>
    </w:p>
    <w:p>
      <w:pPr>
        <w:spacing w:after="50"/>
        <w:ind w:left="288" w:hanging="288"/>
      </w:pPr>
      <w:r>
        <w:rPr>
          <w:rFonts w:ascii="Times New Roman" w:hAnsi="Times New Roman"/>
          <w:sz w:val="17"/>
        </w:rPr>
        <w:t>[1] J. Lewis, R. Martinez, and S. Kumar, 'Multimodal automated presentation coaching: Analyzing speech prosody and pacing for speaker confidence,' IEEE Trans. Learn. Technol., vol. 13, no. 3, pp. 512–525, 2020.</w:t>
      </w:r>
    </w:p>
    <w:p>
      <w:pPr>
        <w:spacing w:after="50"/>
        <w:ind w:left="288" w:hanging="288"/>
      </w:pPr>
      <w:r>
        <w:rPr>
          <w:rFonts w:ascii="Times New Roman" w:hAnsi="Times New Roman"/>
          <w:sz w:val="17"/>
        </w:rPr>
        <w:t>[2] A. Machalek, T. Horvath, and M. Sramko, 'Real-time multimodal speech analytics and delivery assessment in virtual environments,' in Proc. IEEE ICALT, 2021, pp. 88–92.</w:t>
      </w:r>
    </w:p>
    <w:p>
      <w:pPr>
        <w:spacing w:after="50"/>
        <w:ind w:left="288" w:hanging="288"/>
      </w:pPr>
      <w:r>
        <w:rPr>
          <w:rFonts w:ascii="Times New Roman" w:hAnsi="Times New Roman"/>
          <w:sz w:val="17"/>
        </w:rPr>
        <w:t>[3] K. Kurihara, M. Goto, and J. Ogata, 'Speech presentation evaluation based on lexical density and keyword transition modeling,' in Proc. INTERSPEECH, 2017, pp. 2411–2415.</w:t>
      </w:r>
    </w:p>
    <w:p>
      <w:pPr>
        <w:spacing w:after="50"/>
        <w:ind w:left="288" w:hanging="288"/>
      </w:pPr>
      <w:r>
        <w:rPr>
          <w:rFonts w:ascii="Times New Roman" w:hAnsi="Times New Roman"/>
          <w:sz w:val="17"/>
        </w:rPr>
        <w:t>[4] H. Wachsmuth, N. Naderi, Y. Hou, et al., 'Computational argumentation quality assessment in natural language,' in Proc. 15th Conf. EACL, 2017, pp. 176–187.</w:t>
      </w:r>
    </w:p>
    <w:p>
      <w:pPr>
        <w:spacing w:after="50"/>
        <w:ind w:left="288" w:hanging="288"/>
      </w:pPr>
      <w:r>
        <w:rPr>
          <w:rFonts w:ascii="Times New Roman" w:hAnsi="Times New Roman"/>
          <w:sz w:val="17"/>
        </w:rPr>
        <w:t>[5] A. Peldszus and M. Stede, 'From argument diagrams to argumentation mining in texts: A survey,' Int. J. Cogn. Inform. Nat. Intell., vol. 7, no. 1, pp. 1–31, 2013.</w:t>
      </w:r>
    </w:p>
    <w:p>
      <w:pPr>
        <w:spacing w:after="50"/>
        <w:ind w:left="288" w:hanging="288"/>
      </w:pPr>
      <w:r>
        <w:rPr>
          <w:rFonts w:ascii="Times New Roman" w:hAnsi="Times New Roman"/>
          <w:sz w:val="17"/>
        </w:rPr>
        <w:t>[6] C. Stab and I. Gurevych, 'Annotating argument components and relations in persuasive essays,' in Proc. 25th COLING, 2014, pp. 1501–1510.</w:t>
      </w:r>
    </w:p>
    <w:p>
      <w:pPr>
        <w:spacing w:after="50"/>
        <w:ind w:left="288" w:hanging="288"/>
      </w:pPr>
      <w:r>
        <w:rPr>
          <w:rFonts w:ascii="Times New Roman" w:hAnsi="Times New Roman"/>
          <w:sz w:val="17"/>
        </w:rPr>
        <w:t>[7] A. Aamodt and E. Plaza, 'Case-based reasoning: Foundational issues, methodological variations, and system approaches,' AI Commun., vol. 7, no. 1, pp. 39–59, 1994.</w:t>
      </w:r>
    </w:p>
    <w:p>
      <w:pPr>
        <w:spacing w:after="50"/>
        <w:ind w:left="288" w:hanging="288"/>
      </w:pPr>
      <w:r>
        <w:rPr>
          <w:rFonts w:ascii="Times New Roman" w:hAnsi="Times New Roman"/>
          <w:sz w:val="17"/>
        </w:rPr>
        <w:t>[8] P. Lewis, E. Perez, A. Piktus, et al., 'Retrieval-augmented generation for knowledge-intensive NLP tasks,' in Adv. Neural Inf. Process. Syst. (NeurIPS), vol. 33, 2020, pp. 9459–9474.</w:t>
      </w:r>
    </w:p>
    <w:p>
      <w:pPr>
        <w:spacing w:after="50"/>
        <w:ind w:left="288" w:hanging="288"/>
      </w:pPr>
      <w:r>
        <w:rPr>
          <w:rFonts w:ascii="Times New Roman" w:hAnsi="Times New Roman"/>
          <w:sz w:val="17"/>
        </w:rPr>
        <w:t>[9] M. Warschauer and P. Ware, 'Automated writing evaluation: Defining the classroom research agenda,' Lang. Teach. Res., vol. 10, no. 2, pp. 157–180, 2006.</w:t>
      </w:r>
    </w:p>
    <w:p>
      <w:pPr>
        <w:spacing w:after="50"/>
        <w:ind w:left="288" w:hanging="288"/>
      </w:pPr>
      <w:r>
        <w:rPr>
          <w:rFonts w:ascii="Times New Roman" w:hAnsi="Times New Roman"/>
          <w:sz w:val="17"/>
        </w:rPr>
        <w:t>[10] E. Reiter and R. Dale, Building Natural Language Generation Systems. Cambridge University Press, 2000.</w:t>
      </w:r>
    </w:p>
    <w:p>
      <w:pPr>
        <w:spacing w:after="50"/>
        <w:ind w:left="288" w:hanging="288"/>
      </w:pPr>
      <w:r>
        <w:rPr>
          <w:rFonts w:ascii="Times New Roman" w:hAnsi="Times New Roman"/>
          <w:sz w:val="17"/>
        </w:rPr>
        <w:t>[11] M. Sharma, M. Tong, T. Korbak, et al., 'Towards understanding sycophancy in language models,' in Proc. EMNLP, 2023, pp. 1215–1233.</w:t>
      </w:r>
    </w:p>
    <w:p>
      <w:pPr>
        <w:spacing w:after="50"/>
        <w:ind w:left="288" w:hanging="288"/>
      </w:pPr>
      <w:r>
        <w:rPr>
          <w:rFonts w:ascii="Times New Roman" w:hAnsi="Times New Roman"/>
          <w:sz w:val="17"/>
        </w:rPr>
        <w:t>[12] D. Chen and K. Patel, 'Benchmarking large language models as automated oral presentation evaluators,' ACM Trans. Comput. Educ., vol. 24, no. 2, pp. 101–118, 2024.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