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0" w:lineRule="exact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Guía de Práctica Experimental 1 – Minería de Datos</w:t>
      </w:r>
    </w:p>
    <w:p>
      <w:pPr>
        <w:spacing w:before="0" w:after="120" w:line="320" w:lineRule="exact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Aplicación de técnicas de data mining en un caso de estudio</w:t>
      </w:r>
    </w:p>
    <w:p>
      <w:pPr>
        <w:spacing w:before="0" w:after="200" w:line="540" w:lineRule="exact"/>
        <w:jc w:val="center"/>
      </w:pPr>
      <w:r>
        <w:rPr>
          <w:rFonts w:ascii="Arial" w:hAnsi="Arial" w:eastAsia="Arial"/>
          <w:b/>
          <w:i w:val="0"/>
          <w:color w:val="7B1E3A"/>
          <w:sz w:val="44"/>
        </w:rPr>
        <w:t>Predicción de la calidad de vinos a partir de reseñas de catadores</w:t>
      </w:r>
    </w:p>
    <w:p>
      <w:pPr>
        <w:spacing w:before="0" w:after="120" w:line="320" w:lineRule="exact"/>
        <w:jc w:val="center"/>
      </w:pPr>
      <w:r>
        <w:rPr>
          <w:rFonts w:ascii="Arial" w:hAnsi="Arial" w:eastAsia="Arial"/>
          <w:b w:val="0"/>
          <w:i w:val="0"/>
          <w:color w:val="000000"/>
          <w:sz w:val="24"/>
        </w:rPr>
        <w:t>Dataset Wine Reviews (Kaggle / WineEnthusiast)</w:t>
      </w:r>
    </w:p>
    <w:p>
      <w:pPr>
        <w:spacing w:before="0" w:after="120" w:line="320" w:lineRule="exact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Estudiante(s):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Edison Paul Llerena Cuzco</w:t>
      </w:r>
    </w:p>
    <w:p>
      <w:pPr>
        <w:spacing w:before="0" w:after="120" w:line="320" w:lineRule="exact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Universidad: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Universidad Estatal Amazónica</w:t>
      </w:r>
    </w:p>
    <w:p>
      <w:pPr>
        <w:spacing w:before="0" w:after="120" w:line="320" w:lineRule="exact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Correo: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ep.llerenac@uea.edu.ec</w:t>
      </w:r>
    </w:p>
    <w:p>
      <w:pPr>
        <w:spacing w:before="0" w:after="120" w:line="320" w:lineRule="exact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Asignatura: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Minería de Datos</w:t>
      </w:r>
    </w:p>
    <w:p>
      <w:pPr>
        <w:spacing w:before="0" w:after="120" w:line="320" w:lineRule="exact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Entrega: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Semana 16</w:t>
      </w:r>
    </w:p>
    <w:p>
      <w:pPr>
        <w:spacing w:before="0" w:after="120" w:line="320" w:lineRule="exact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Repositorio: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https://github.com/PAUL593LLC/mineria-wine-reviews</w:t>
      </w:r>
    </w:p>
    <w:p>
      <w:pPr>
        <w:spacing w:before="0" w:after="120" w:line="320" w:lineRule="exact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Cuaderno: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 notebooks/Practica1_Wine_Reviews.ipynb (Google Colab)</w:t>
      </w:r>
    </w:p>
    <w:p>
      <w:r>
        <w:br w:type="page"/>
      </w:r>
    </w:p>
    <w:p>
      <w:pPr>
        <w:pStyle w:val="Heading1"/>
        <w:keepNext/>
        <w:spacing w:before="280" w:after="160" w:line="240" w:lineRule="exact"/>
        <w:jc w:val="left"/>
      </w:pPr>
      <w:r>
        <w:rPr>
          <w:rFonts w:ascii="Arial" w:hAnsi="Arial" w:eastAsia="Arial"/>
          <w:b/>
          <w:i w:val="0"/>
          <w:color w:val="7B1E3A"/>
          <w:sz w:val="30"/>
        </w:rPr>
        <w:t>1. Definición del problema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Una distribuidora de vinos maneja miles de referencias y necesita priorizar cuáles destacar o comprar. Las reseñas de catadores profesionales asignan un puntaje de 80 a 100, pero no existen para todos los vinos. Este estudio plantea la pregunta: </w:t>
      </w:r>
      <w:r>
        <w:rPr>
          <w:rFonts w:ascii="Arial" w:hAnsi="Arial" w:eastAsia="Arial"/>
          <w:b/>
          <w:i w:val="0"/>
          <w:color w:val="000000"/>
          <w:sz w:val="19"/>
        </w:rPr>
        <w:t>¿puede predecirse si un vino obtendrá 90 puntos o más (“alta calidad”) usando precio, origen, variedad, antigüedad, catador y el texto de la reseña?</w:t>
      </w:r>
    </w:p>
    <w:p>
      <w:pPr>
        <w:pStyle w:val="Heading2"/>
        <w:keepNext/>
        <w:spacing w:before="180" w:after="80" w:line="240" w:lineRule="exact"/>
        <w:jc w:val="left"/>
      </w:pPr>
      <w:r>
        <w:rPr>
          <w:rFonts w:ascii="Arial" w:hAnsi="Arial" w:eastAsia="Arial"/>
          <w:b/>
          <w:i w:val="0"/>
          <w:color w:val="333333"/>
          <w:sz w:val="23"/>
        </w:rPr>
        <w:t>1.1 Objetivos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General.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Construir y evaluar modelos de minería de datos descriptivos y predictivos sobre la calidad de los vinos.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Explorar y depurar el dataset (calidad de datos, distribuciones, relaciones).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Segmentar el catálogo con un modelo descriptivo (K-Means).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Comparar al menos cinco algoritmos de clasificación con validación cruzada y prueba final.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Identificar qué variables y qué palabras explican la calidad.</w:t>
      </w:r>
    </w:p>
    <w:p>
      <w:pPr>
        <w:pStyle w:val="Heading2"/>
        <w:keepNext/>
        <w:spacing w:before="180" w:after="80" w:line="240" w:lineRule="exact"/>
        <w:jc w:val="left"/>
      </w:pPr>
      <w:r>
        <w:rPr>
          <w:rFonts w:ascii="Arial" w:hAnsi="Arial" w:eastAsia="Arial"/>
          <w:b/>
          <w:i w:val="0"/>
          <w:color w:val="333333"/>
          <w:sz w:val="23"/>
        </w:rPr>
        <w:t>1.2 Alcance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Reseñas de WineEnthusiast hasta 2017 (129 971 registros, 43 países, 707 variedades). Variable objetivo binaria: </w:t>
      </w:r>
      <w:r>
        <w:rPr>
          <w:rFonts w:ascii="Arial" w:hAnsi="Arial" w:eastAsia="Arial"/>
          <w:b w:val="0"/>
          <w:i/>
          <w:color w:val="000000"/>
          <w:sz w:val="19"/>
        </w:rPr>
        <w:t>high_quality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= 1 si </w:t>
      </w:r>
      <w:r>
        <w:rPr>
          <w:rFonts w:ascii="Arial" w:hAnsi="Arial" w:eastAsia="Arial"/>
          <w:b w:val="0"/>
          <w:i/>
          <w:color w:val="000000"/>
          <w:sz w:val="19"/>
        </w:rPr>
        <w:t>points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≥ 90. El modelo es una herramienta de priorización y análisis, no sustituye al catador.</w:t>
      </w:r>
    </w:p>
    <w:p>
      <w:pPr>
        <w:pStyle w:val="Heading2"/>
        <w:keepNext/>
        <w:spacing w:before="180" w:after="80" w:line="240" w:lineRule="exact"/>
        <w:jc w:val="left"/>
      </w:pPr>
      <w:r>
        <w:rPr>
          <w:rFonts w:ascii="Arial" w:hAnsi="Arial" w:eastAsia="Arial"/>
          <w:b/>
          <w:i w:val="0"/>
          <w:color w:val="333333"/>
          <w:sz w:val="23"/>
        </w:rPr>
        <w:t>1.3 Metodología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Se siguió el proceso de minería de datos en cinco fases (problema, datos, preprocesamiento, modelado, evaluación), con código reproducible en Python (pandas, scikit-learn, seaborn) y semilla fija (42).</w:t>
      </w:r>
    </w:p>
    <w:p>
      <w:pPr>
        <w:pStyle w:val="Heading1"/>
        <w:keepNext/>
        <w:spacing w:before="280" w:after="160" w:line="240" w:lineRule="exact"/>
        <w:jc w:val="left"/>
      </w:pPr>
      <w:r>
        <w:rPr>
          <w:rFonts w:ascii="Arial" w:hAnsi="Arial" w:eastAsia="Arial"/>
          <w:b/>
          <w:i w:val="0"/>
          <w:color w:val="7B1E3A"/>
          <w:sz w:val="30"/>
        </w:rPr>
        <w:t>2. Datos: recopilación y exploración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El dataset </w:t>
      </w:r>
      <w:r>
        <w:rPr>
          <w:rFonts w:ascii="Arial" w:hAnsi="Arial" w:eastAsia="Arial"/>
          <w:b w:val="0"/>
          <w:i/>
          <w:color w:val="000000"/>
          <w:sz w:val="19"/>
        </w:rPr>
        <w:t>winemag-data-130k-v2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proviene de Kaggle (zynicide/wine-reviews). Cada fila es una reseña con: país, provincia, regiones, variedad, bodega, título, designación, precio, catador, </w:t>
      </w:r>
      <w:r>
        <w:rPr>
          <w:rFonts w:ascii="Arial" w:hAnsi="Arial" w:eastAsia="Arial"/>
          <w:b w:val="0"/>
          <w:i/>
          <w:color w:val="000000"/>
          <w:sz w:val="19"/>
        </w:rPr>
        <w:t>descripción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(texto libre) y </w:t>
      </w:r>
      <w:r>
        <w:rPr>
          <w:rFonts w:ascii="Arial" w:hAnsi="Arial" w:eastAsia="Arial"/>
          <w:b w:val="0"/>
          <w:i/>
          <w:color w:val="000000"/>
          <w:sz w:val="19"/>
        </w:rPr>
        <w:t>puntos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pStyle w:val="Heading2"/>
        <w:keepNext/>
        <w:spacing w:before="180" w:after="80" w:line="240" w:lineRule="exact"/>
        <w:jc w:val="left"/>
      </w:pPr>
      <w:r>
        <w:rPr>
          <w:rFonts w:ascii="Arial" w:hAnsi="Arial" w:eastAsia="Arial"/>
          <w:b/>
          <w:i w:val="0"/>
          <w:color w:val="333333"/>
          <w:sz w:val="23"/>
        </w:rPr>
        <w:t>2.1 Calidad de los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386"/>
            <w:shd w:val="clear" w:color="auto" w:fill="7B1E3A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Característica</w:t>
            </w:r>
          </w:p>
        </w:tc>
        <w:tc>
          <w:tcPr>
            <w:tcW w:type="dxa" w:w="3685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5386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Filas × columnas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129 971 × 13</w:t>
            </w:r>
          </w:p>
        </w:tc>
      </w:tr>
      <w:tr>
        <w:tc>
          <w:tcPr>
            <w:tcW w:type="dxa" w:w="5386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Reseñas duplicadas (descripción + título)</w:t>
            </w:r>
          </w:p>
        </w:tc>
        <w:tc>
          <w:tcPr>
            <w:tcW w:type="dxa" w:w="3685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9 983 (7.7 %)</w:t>
            </w:r>
          </w:p>
        </w:tc>
      </w:tr>
      <w:tr>
        <w:tc>
          <w:tcPr>
            <w:tcW w:type="dxa" w:w="5386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Faltantes: region_2 / taster_twitter / taster_name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61.1 % / 24.0 % / 20.2 %</w:t>
            </w:r>
          </w:p>
        </w:tc>
      </w:tr>
      <w:tr>
        <w:tc>
          <w:tcPr>
            <w:tcW w:type="dxa" w:w="5386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Faltantes: designation / region_1 / price</w:t>
            </w:r>
          </w:p>
        </w:tc>
        <w:tc>
          <w:tcPr>
            <w:tcW w:type="dxa" w:w="3685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28.8 % / 16.4 % / 6.9 %</w:t>
            </w:r>
          </w:p>
        </w:tc>
      </w:tr>
      <w:tr>
        <w:tc>
          <w:tcPr>
            <w:tcW w:type="dxa" w:w="5386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Puntos: media ± desv. (mín–máx)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88.45 ± 3.04 (80–100)</w:t>
            </w:r>
          </w:p>
        </w:tc>
      </w:tr>
      <w:tr>
        <w:tc>
          <w:tcPr>
            <w:tcW w:type="dxa" w:w="5386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Precio: mediana / media / máx (USD)</w:t>
            </w:r>
          </w:p>
        </w:tc>
        <w:tc>
          <w:tcPr>
            <w:tcW w:type="dxa" w:w="3685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25 / 35.4 / 3 300</w:t>
            </w:r>
          </w:p>
        </w:tc>
      </w:tr>
      <w:tr>
        <w:tc>
          <w:tcPr>
            <w:tcW w:type="dxa" w:w="5386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Proporción de reseñas con ≥ 90 puntos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37.7%</w:t>
            </w:r>
          </w:p>
        </w:tc>
      </w:tr>
    </w:tbl>
    <w:p>
      <w:pPr>
        <w:spacing w:after="40" w:line="8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79999" cy="18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i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999" cy="1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1. Porcentaje de valores faltantes por variable.</w:t>
      </w:r>
    </w:p>
    <w:p>
      <w:pPr>
        <w:pStyle w:val="Heading2"/>
        <w:keepNext/>
        <w:spacing w:before="180" w:after="80" w:line="240" w:lineRule="exact"/>
        <w:jc w:val="left"/>
      </w:pPr>
      <w:r>
        <w:rPr>
          <w:rFonts w:ascii="Arial" w:hAnsi="Arial" w:eastAsia="Arial"/>
          <w:b/>
          <w:i w:val="0"/>
          <w:color w:val="333333"/>
          <w:sz w:val="23"/>
        </w:rPr>
        <w:t>2.2 Análisis descriptivo y visualizaciones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La distribución del puntaje es casi simétrica con centro en 87–88 y cola hacia 100; con el umbral de 90 la clase positiva es ≈ 38 %, de modo que el problema está moderadamente desbalanceado (un clasificador trivial acierta 62 %). El precio presenta fuerte sesgo a la derecha (media 35.4 &gt; mediana 25), por lo que se trabaja en escala logarítmica.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795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ints_price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2. Distribución del puntaje (izquierda) y del precio en escala log (derecha).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El precio y el puntaje se correlacionan de forma moderada-fuerte (Spearman ρ = 0.61, p &lt; 0.001), con mucha dispersión: existen vinos de 15 USD con 92 puntos y vinos de 100 USD con 85.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2413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ce_vs_po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413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3. Densidad de reseñas por precio (log) y puntaje.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Estados Unidos concentra el 42 % de las reseñas (54 504), seguido de Francia e Italia. Las medianas difieren entre países (Kruskal-Wallis H = 5694, p ≈ 0): Austria y Alemania con mediana 90; Argentina y Chile con 86. También hay diferencias entre los 19 catadores: la media va de 85.9 a 90.6 puntos (H = 9634, p ≈ 0), lo que advierte de un posible sesgo del evaluador.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050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unt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4. Reseñas y puntaje por país (top 10).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013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arieties_tas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01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5. Variedades más frecuentes y puntaje medio por catador.</w:t>
      </w:r>
    </w:p>
    <w:p>
      <w:pPr>
        <w:pStyle w:val="Heading1"/>
        <w:keepNext/>
        <w:spacing w:before="280" w:after="160" w:line="240" w:lineRule="exact"/>
        <w:jc w:val="left"/>
      </w:pPr>
      <w:r>
        <w:rPr>
          <w:rFonts w:ascii="Arial" w:hAnsi="Arial" w:eastAsia="Arial"/>
          <w:b/>
          <w:i w:val="0"/>
          <w:color w:val="7B1E3A"/>
          <w:sz w:val="30"/>
        </w:rPr>
        <w:t>3. Preprocesamiento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Las transformaciones sin aprendizaje se aplican una vez sobre todo el dataset (script </w:t>
      </w:r>
      <w:r>
        <w:rPr>
          <w:rFonts w:ascii="Arial" w:hAnsi="Arial" w:eastAsia="Arial"/>
          <w:b w:val="0"/>
          <w:i/>
          <w:color w:val="000000"/>
          <w:sz w:val="19"/>
        </w:rPr>
        <w:t>02_preprocess.py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); las que aprenden parámetros de los datos (mediana, escalado, categorías, TF-IDF) se ajustan solo con el conjunto de entrenamiento dentro de un </w:t>
      </w:r>
      <w:r>
        <w:rPr>
          <w:rFonts w:ascii="Arial" w:hAnsi="Arial" w:eastAsia="Arial"/>
          <w:b w:val="0"/>
          <w:i/>
          <w:color w:val="000000"/>
          <w:sz w:val="19"/>
        </w:rPr>
        <w:t>Pipeline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de scikit-learn para evitar fuga de información.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color="auto" w:fill="7B1E3A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Paso</w:t>
            </w:r>
          </w:p>
        </w:tc>
        <w:tc>
          <w:tcPr>
            <w:tcW w:type="dxa" w:w="5272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Acción</w:t>
            </w:r>
          </w:p>
        </w:tc>
        <w:tc>
          <w:tcPr>
            <w:tcW w:type="dxa" w:w="2041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Efecto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Duplicados</w:t>
            </w:r>
          </w:p>
        </w:tc>
        <w:tc>
          <w:tcPr>
            <w:tcW w:type="dxa" w:w="5272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Eliminar reseñas repetidas (descripción + título)</w:t>
            </w:r>
          </w:p>
        </w:tc>
        <w:tc>
          <w:tcPr>
            <w:tcW w:type="dxa" w:w="204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129 971 → 119 988 filas</w:t>
            </w:r>
          </w:p>
        </w:tc>
      </w:tr>
      <w:tr>
        <w:tc>
          <w:tcPr>
            <w:tcW w:type="dxa" w:w="1814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Columnas</w:t>
            </w:r>
          </w:p>
        </w:tc>
        <w:tc>
          <w:tcPr>
            <w:tcW w:type="dxa" w:w="5272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Descartar region_2 (61 % nulos) y taster_twitter_handle (redundante)</w:t>
            </w:r>
          </w:p>
        </w:tc>
        <w:tc>
          <w:tcPr>
            <w:tcW w:type="dxa" w:w="2041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−2 columnas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Faltantes categóricos</w:t>
            </w:r>
          </w:p>
        </w:tc>
        <w:tc>
          <w:tcPr>
            <w:tcW w:type="dxa" w:w="5272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country, province, taster_name → “Unknown”</w:t>
            </w:r>
          </w:p>
        </w:tc>
        <w:tc>
          <w:tcPr>
            <w:tcW w:type="dxa" w:w="204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 nulos</w:t>
            </w:r>
          </w:p>
        </w:tc>
      </w:tr>
      <w:tr>
        <w:tc>
          <w:tcPr>
            <w:tcW w:type="dxa" w:w="1814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Precio</w:t>
            </w:r>
          </w:p>
        </w:tc>
        <w:tc>
          <w:tcPr>
            <w:tcW w:type="dxa" w:w="5272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Recorte al percentil 99.9 (476 USD), indicador de ausencia, log(1+x); mediana en el pipeline</w:t>
            </w:r>
          </w:p>
        </w:tc>
        <w:tc>
          <w:tcPr>
            <w:tcW w:type="dxa" w:w="2041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111 filas recortadas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Año de cosecha</w:t>
            </w:r>
          </w:p>
        </w:tc>
        <w:tc>
          <w:tcPr>
            <w:tcW w:type="dxa" w:w="5272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Regex sobre el título → age = 2017 − año; indicador age_missing</w:t>
            </w:r>
          </w:p>
        </w:tc>
        <w:tc>
          <w:tcPr>
            <w:tcW w:type="dxa" w:w="204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96.4 % extraído</w:t>
            </w:r>
          </w:p>
        </w:tc>
      </w:tr>
      <w:tr>
        <w:tc>
          <w:tcPr>
            <w:tcW w:type="dxa" w:w="1814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Texto / metadatos</w:t>
            </w:r>
          </w:p>
        </w:tc>
        <w:tc>
          <w:tcPr>
            <w:tcW w:type="dxa" w:w="5272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desc_len_chars, desc_words, has_designation, has_region</w:t>
            </w:r>
          </w:p>
        </w:tc>
        <w:tc>
          <w:tcPr>
            <w:tcW w:type="dxa" w:w="2041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+4 variables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Codificación</w:t>
            </w:r>
          </w:p>
        </w:tc>
        <w:tc>
          <w:tcPr>
            <w:tcW w:type="dxa" w:w="5272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One-hot con categorías raras agrupadas (&lt; 200 casos); TF-IDF 1–2 gramas (20 000 términos)</w:t>
            </w:r>
          </w:p>
        </w:tc>
        <w:tc>
          <w:tcPr>
            <w:tcW w:type="dxa" w:w="204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dentro del pipeline</w:t>
            </w:r>
          </w:p>
        </w:tc>
      </w:tr>
      <w:tr>
        <w:tc>
          <w:tcPr>
            <w:tcW w:type="dxa" w:w="1814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Objetivo</w:t>
            </w:r>
          </w:p>
        </w:tc>
        <w:tc>
          <w:tcPr>
            <w:tcW w:type="dxa" w:w="5272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high_quality = 1 si points ≥ 90</w:t>
            </w:r>
          </w:p>
        </w:tc>
        <w:tc>
          <w:tcPr>
            <w:tcW w:type="dxa" w:w="2041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38.0% positivos</w:t>
            </w:r>
          </w:p>
        </w:tc>
      </w:tr>
    </w:tbl>
    <w:p>
      <w:pPr>
        <w:spacing w:after="40" w:line="8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4743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epro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7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6. Efecto del recorte/transformación del precio y distribución de la edad del vino.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Un hallazgo del feature engineering: los vinos de alta calidad tienen reseñas más largas (mediana de 45 palabras frente a 36), lo que luego resulta decisivo en el modelado.</w:t>
      </w:r>
    </w:p>
    <w:p>
      <w:pPr>
        <w:pStyle w:val="Heading1"/>
        <w:keepNext/>
        <w:spacing w:before="280" w:after="160" w:line="240" w:lineRule="exact"/>
        <w:jc w:val="left"/>
      </w:pPr>
      <w:r>
        <w:rPr>
          <w:rFonts w:ascii="Arial" w:hAnsi="Arial" w:eastAsia="Arial"/>
          <w:b/>
          <w:i w:val="0"/>
          <w:color w:val="7B1E3A"/>
          <w:sz w:val="30"/>
        </w:rPr>
        <w:t>4. Modelado</w:t>
      </w:r>
    </w:p>
    <w:p>
      <w:pPr>
        <w:pStyle w:val="Heading2"/>
        <w:keepNext/>
        <w:spacing w:before="180" w:after="80" w:line="240" w:lineRule="exact"/>
        <w:jc w:val="left"/>
      </w:pPr>
      <w:r>
        <w:rPr>
          <w:rFonts w:ascii="Arial" w:hAnsi="Arial" w:eastAsia="Arial"/>
          <w:b/>
          <w:i w:val="0"/>
          <w:color w:val="333333"/>
          <w:sz w:val="23"/>
        </w:rPr>
        <w:t>4.1 Modelo descriptivo: segmentación con K-Means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Se agruparon los vinos según puntaje, log-precio, edad y longitud de reseña (estandarizados). La silueta es máxima con k = 2 (0.29) y baja con k = 4 (0.21); se eligió </w:t>
      </w:r>
      <w:r>
        <w:rPr>
          <w:rFonts w:ascii="Arial" w:hAnsi="Arial" w:eastAsia="Arial"/>
          <w:b/>
          <w:i w:val="0"/>
          <w:color w:val="000000"/>
          <w:sz w:val="19"/>
        </w:rPr>
        <w:t>k = 4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por interpretabilidad, a sabiendas de que los grupos se solapan (el vino es un continuo de calidad).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4446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means_sel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44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7. Método del codo y coeficiente de silueta.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531"/>
            <w:shd w:val="clear" w:color="auto" w:fill="7B1E3A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Segmento</w:t>
            </w:r>
          </w:p>
        </w:tc>
        <w:tc>
          <w:tcPr>
            <w:tcW w:type="dxa" w:w="907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% vinos</w:t>
            </w:r>
          </w:p>
        </w:tc>
        <w:tc>
          <w:tcPr>
            <w:tcW w:type="dxa" w:w="850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Puntos</w:t>
            </w:r>
          </w:p>
        </w:tc>
        <w:tc>
          <w:tcPr>
            <w:tcW w:type="dxa" w:w="1531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Precio med. (USD)</w:t>
            </w:r>
          </w:p>
        </w:tc>
        <w:tc>
          <w:tcPr>
            <w:tcW w:type="dxa" w:w="737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Edad</w:t>
            </w:r>
          </w:p>
        </w:tc>
        <w:tc>
          <w:tcPr>
            <w:tcW w:type="dxa" w:w="964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Palabras</w:t>
            </w:r>
          </w:p>
        </w:tc>
        <w:tc>
          <w:tcPr>
            <w:tcW w:type="dxa" w:w="907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≥ 90 pts</w:t>
            </w:r>
          </w:p>
        </w:tc>
        <w:tc>
          <w:tcPr>
            <w:tcW w:type="dxa" w:w="1701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Variedad top</w:t>
            </w:r>
          </w:p>
        </w:tc>
      </w:tr>
      <w:tr>
        <w:tc>
          <w:tcPr>
            <w:tcW w:type="dxa" w:w="153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Premium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19.8</w:t>
            </w:r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92.2</w:t>
            </w:r>
          </w:p>
        </w:tc>
        <w:tc>
          <w:tcPr>
            <w:tcW w:type="dxa" w:w="153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60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6.5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52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93%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Pinot Noir</w:t>
            </w:r>
          </w:p>
        </w:tc>
      </w:tr>
      <w:tr>
        <w:tc>
          <w:tcPr>
            <w:tcW w:type="dxa" w:w="1531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Calidad-precio</w:t>
            </w:r>
          </w:p>
        </w:tc>
        <w:tc>
          <w:tcPr>
            <w:tcW w:type="dxa" w:w="90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34.3</w:t>
            </w:r>
          </w:p>
        </w:tc>
        <w:tc>
          <w:tcPr>
            <w:tcW w:type="dxa" w:w="850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89.3</w:t>
            </w:r>
          </w:p>
        </w:tc>
        <w:tc>
          <w:tcPr>
            <w:tcW w:type="dxa" w:w="1531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27</w:t>
            </w:r>
          </w:p>
        </w:tc>
        <w:tc>
          <w:tcPr>
            <w:tcW w:type="dxa" w:w="73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4.5</w:t>
            </w:r>
          </w:p>
        </w:tc>
        <w:tc>
          <w:tcPr>
            <w:tcW w:type="dxa" w:w="96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41</w:t>
            </w:r>
          </w:p>
        </w:tc>
        <w:tc>
          <w:tcPr>
            <w:tcW w:type="dxa" w:w="90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46%</w:t>
            </w:r>
          </w:p>
        </w:tc>
        <w:tc>
          <w:tcPr>
            <w:tcW w:type="dxa" w:w="1701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Pinot Noir</w:t>
            </w:r>
          </w:p>
        </w:tc>
      </w:tr>
      <w:tr>
        <w:tc>
          <w:tcPr>
            <w:tcW w:type="dxa" w:w="153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Maduros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16.2</w:t>
            </w:r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87.6</w:t>
            </w:r>
          </w:p>
        </w:tc>
        <w:tc>
          <w:tcPr>
            <w:tcW w:type="dxa" w:w="153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25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11.9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42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23%</w:t>
            </w:r>
          </w:p>
        </w:tc>
        <w:tc>
          <w:tcPr>
            <w:tcW w:type="dxa" w:w="170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Cabernet Sauvignon</w:t>
            </w:r>
          </w:p>
        </w:tc>
      </w:tr>
      <w:tr>
        <w:tc>
          <w:tcPr>
            <w:tcW w:type="dxa" w:w="1531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Económicos</w:t>
            </w:r>
          </w:p>
        </w:tc>
        <w:tc>
          <w:tcPr>
            <w:tcW w:type="dxa" w:w="90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29.6</w:t>
            </w:r>
          </w:p>
        </w:tc>
        <w:tc>
          <w:tcPr>
            <w:tcW w:type="dxa" w:w="850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85.4</w:t>
            </w:r>
          </w:p>
        </w:tc>
        <w:tc>
          <w:tcPr>
            <w:tcW w:type="dxa" w:w="1531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15</w:t>
            </w:r>
          </w:p>
        </w:tc>
        <w:tc>
          <w:tcPr>
            <w:tcW w:type="dxa" w:w="73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5.4</w:t>
            </w:r>
          </w:p>
        </w:tc>
        <w:tc>
          <w:tcPr>
            <w:tcW w:type="dxa" w:w="96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31</w:t>
            </w:r>
          </w:p>
        </w:tc>
        <w:tc>
          <w:tcPr>
            <w:tcW w:type="dxa" w:w="90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0%</w:t>
            </w:r>
          </w:p>
        </w:tc>
        <w:tc>
          <w:tcPr>
            <w:tcW w:type="dxa" w:w="1701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Chardonnay</w:t>
            </w:r>
          </w:p>
        </w:tc>
      </w:tr>
    </w:tbl>
    <w:p>
      <w:pPr>
        <w:spacing w:after="40" w:line="80" w:lineRule="exact"/>
      </w:pP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Los segmentos son interpretables: </w:t>
      </w:r>
      <w:r>
        <w:rPr>
          <w:rFonts w:ascii="Arial" w:hAnsi="Arial" w:eastAsia="Arial"/>
          <w:b/>
          <w:i w:val="0"/>
          <w:color w:val="000000"/>
          <w:sz w:val="19"/>
        </w:rPr>
        <w:t>Premium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(92 puntos, 60 USD, 93 % de alta calidad), </w:t>
      </w:r>
      <w:r>
        <w:rPr>
          <w:rFonts w:ascii="Arial" w:hAnsi="Arial" w:eastAsia="Arial"/>
          <w:b/>
          <w:i w:val="0"/>
          <w:color w:val="000000"/>
          <w:sz w:val="19"/>
        </w:rPr>
        <w:t>Calidad-precio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(89 puntos, 27 USD), </w:t>
      </w:r>
      <w:r>
        <w:rPr>
          <w:rFonts w:ascii="Arial" w:hAnsi="Arial" w:eastAsia="Arial"/>
          <w:b/>
          <w:i w:val="0"/>
          <w:color w:val="000000"/>
          <w:sz w:val="19"/>
        </w:rPr>
        <w:t>Maduros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(12 años de edad media, 87.6 puntos) y </w:t>
      </w:r>
      <w:r>
        <w:rPr>
          <w:rFonts w:ascii="Arial" w:hAnsi="Arial" w:eastAsia="Arial"/>
          <w:b/>
          <w:i w:val="0"/>
          <w:color w:val="000000"/>
          <w:sz w:val="19"/>
        </w:rPr>
        <w:t>Económicos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(85 puntos, 15 USD, reseñas cortas, ningún vino ≥ 90).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22994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means_pc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9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8. Clusters en el plano de los dos primeros componentes principales.</w:t>
      </w:r>
    </w:p>
    <w:p>
      <w:pPr>
        <w:pStyle w:val="Heading2"/>
        <w:keepNext/>
        <w:spacing w:before="180" w:after="80" w:line="240" w:lineRule="exact"/>
        <w:jc w:val="left"/>
      </w:pPr>
      <w:r>
        <w:rPr>
          <w:rFonts w:ascii="Arial" w:hAnsi="Arial" w:eastAsia="Arial"/>
          <w:b/>
          <w:i w:val="0"/>
          <w:color w:val="333333"/>
          <w:sz w:val="23"/>
        </w:rPr>
        <w:t>4.2 Modelos predictivos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Se partió el dataset en 80 % entrenamiento (95 990) y 20 % prueba (23 998), estratificado. Se compararon seis enfoques bajo validación cruzada estratificada de 5 folds (AUC-ROC, F1, exactitud):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Baseline</w:t>
      </w:r>
      <w:r>
        <w:rPr>
          <w:rFonts w:ascii="Arial" w:hAnsi="Arial" w:eastAsia="Arial"/>
          <w:b w:val="0"/>
          <w:i w:val="0"/>
          <w:color w:val="000000"/>
          <w:sz w:val="19"/>
        </w:rPr>
        <w:t>: clase mayoritaria.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Regresión logística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sobre variables tabulares.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Árbol de decisión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(profundidad 8).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Random Forest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(200 árboles).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Gradient Boosting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(HistGradientBoosting, categorías nativas).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Regresión logística + TF-IDF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del texto de la reseña (unigramas y bigramas).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Stacking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(texto + boosting, meta-clasificador logístico) y una ablación de boosting </w:t>
      </w:r>
      <w:r>
        <w:rPr>
          <w:rFonts w:ascii="Arial" w:hAnsi="Arial" w:eastAsia="Arial"/>
          <w:b/>
          <w:i w:val="0"/>
          <w:color w:val="000000"/>
          <w:sz w:val="19"/>
        </w:rPr>
        <w:t>sin catador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Los hiperparámetros se ajustaron con GridSearchCV (3 folds, AUC): boosting con tasa de aprendizaje 0.05, 63 hojas y L2 = 1.0; regresión con texto con C = 1.0.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195"/>
            <w:shd w:val="clear" w:color="auto" w:fill="7B1E3A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Modelo (CV 5 folds, entrenamiento)</w:t>
            </w:r>
          </w:p>
        </w:tc>
        <w:tc>
          <w:tcPr>
            <w:tcW w:type="dxa" w:w="1757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757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F1</w:t>
            </w:r>
          </w:p>
        </w:tc>
        <w:tc>
          <w:tcPr>
            <w:tcW w:type="dxa" w:w="1757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AUC-ROC</w:t>
            </w:r>
          </w:p>
        </w:tc>
      </w:tr>
      <w:tr>
        <w:tc>
          <w:tcPr>
            <w:tcW w:type="dxa" w:w="4195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Stacking (texto + tabular)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0.8684 ± 0.0016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0.8233 ± 0.0023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0.9433 ± 0.0010</w:t>
            </w:r>
          </w:p>
        </w:tc>
      </w:tr>
      <w:tr>
        <w:tc>
          <w:tcPr>
            <w:tcW w:type="dxa" w:w="4195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Regresión logística + TF-IDF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0.8678 ± 0.0023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0.8224 ± 0.0029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0.9431 ± 0.0010</w:t>
            </w:r>
          </w:p>
        </w:tc>
      </w:tr>
      <w:tr>
        <w:tc>
          <w:tcPr>
            <w:tcW w:type="dxa" w:w="4195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Regresión logística + TF-IDF (ajustada)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0.8678 ± 0.0023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0.8224 ± 0.0029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0.9431 ± 0.0010</w:t>
            </w:r>
          </w:p>
        </w:tc>
      </w:tr>
      <w:tr>
        <w:tc>
          <w:tcPr>
            <w:tcW w:type="dxa" w:w="4195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Gradient Boosting (ajustado)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0.8221 ± 0.0020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0.7630 ± 0.0032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0.9020 ± 0.0020</w:t>
            </w:r>
          </w:p>
        </w:tc>
      </w:tr>
      <w:tr>
        <w:tc>
          <w:tcPr>
            <w:tcW w:type="dxa" w:w="4195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Gradient Boosting (ajustado, sin catador)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0.8189 ± 0.0020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0.7584 ± 0.0030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0.8984 ± 0.0024</w:t>
            </w:r>
          </w:p>
        </w:tc>
      </w:tr>
      <w:tr>
        <w:tc>
          <w:tcPr>
            <w:tcW w:type="dxa" w:w="4195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Random Forest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0.8132 ± 0.0021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0.7442 ± 0.0030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0.8927 ± 0.0016</w:t>
            </w:r>
          </w:p>
        </w:tc>
      </w:tr>
      <w:tr>
        <w:tc>
          <w:tcPr>
            <w:tcW w:type="dxa" w:w="4195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Regresión logística (tabular)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0.8067 ± 0.0021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0.7336 ± 0.0031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0.8861 ± 0.0021</w:t>
            </w:r>
          </w:p>
        </w:tc>
      </w:tr>
      <w:tr>
        <w:tc>
          <w:tcPr>
            <w:tcW w:type="dxa" w:w="4195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Árbol de decisión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0.7949 ± 0.0033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0.7223 ± 0.0076</w:t>
            </w:r>
          </w:p>
        </w:tc>
        <w:tc>
          <w:tcPr>
            <w:tcW w:type="dxa" w:w="175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0.8704 ± 0.0024</w:t>
            </w:r>
          </w:p>
        </w:tc>
      </w:tr>
      <w:tr>
        <w:tc>
          <w:tcPr>
            <w:tcW w:type="dxa" w:w="4195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Baseline (clase mayoritaria)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0.6200 ± 0.0000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0.0000 ± 0.0000</w:t>
            </w:r>
          </w:p>
        </w:tc>
        <w:tc>
          <w:tcPr>
            <w:tcW w:type="dxa" w:w="175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0.5000 ± 0.0000</w:t>
            </w:r>
          </w:p>
        </w:tc>
      </w:tr>
    </w:tbl>
    <w:p>
      <w:pPr>
        <w:spacing w:after="40" w:line="80" w:lineRule="exact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3847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v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84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9. AUC-ROC en validación cruzada (media ± desviación).</w:t>
      </w:r>
    </w:p>
    <w:p>
      <w:pPr>
        <w:pStyle w:val="Heading1"/>
        <w:keepNext/>
        <w:spacing w:before="280" w:after="160" w:line="240" w:lineRule="exact"/>
        <w:jc w:val="left"/>
      </w:pPr>
      <w:r>
        <w:rPr>
          <w:rFonts w:ascii="Arial" w:hAnsi="Arial" w:eastAsia="Arial"/>
          <w:b/>
          <w:i w:val="0"/>
          <w:color w:val="7B1E3A"/>
          <w:sz w:val="30"/>
        </w:rPr>
        <w:t>5. Evaluación y validación de resultados</w:t>
      </w:r>
    </w:p>
    <w:p>
      <w:pPr>
        <w:pStyle w:val="Heading2"/>
        <w:keepNext/>
        <w:spacing w:before="180" w:after="80" w:line="240" w:lineRule="exact"/>
        <w:jc w:val="left"/>
      </w:pPr>
      <w:r>
        <w:rPr>
          <w:rFonts w:ascii="Arial" w:hAnsi="Arial" w:eastAsia="Arial"/>
          <w:b/>
          <w:i w:val="0"/>
          <w:color w:val="333333"/>
          <w:sz w:val="23"/>
        </w:rPr>
        <w:t>5.1 Desempeño en el conjunto de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2494"/>
            <w:shd w:val="clear" w:color="auto" w:fill="7B1E3A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Modelo (conjunto de prueba)</w:t>
            </w:r>
          </w:p>
        </w:tc>
        <w:tc>
          <w:tcPr>
            <w:tcW w:type="dxa" w:w="964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Accuracy</w:t>
            </w:r>
          </w:p>
        </w:tc>
        <w:tc>
          <w:tcPr>
            <w:tcW w:type="dxa" w:w="1020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907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794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F1</w:t>
            </w:r>
          </w:p>
        </w:tc>
        <w:tc>
          <w:tcPr>
            <w:tcW w:type="dxa" w:w="850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MCC</w:t>
            </w:r>
          </w:p>
        </w:tc>
        <w:tc>
          <w:tcPr>
            <w:tcW w:type="dxa" w:w="1077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AUC-ROC</w:t>
            </w:r>
          </w:p>
        </w:tc>
        <w:tc>
          <w:tcPr>
            <w:tcW w:type="dxa" w:w="964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PR-AUC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Stacking texto+tabular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0.867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0.836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0.807</w:t>
            </w:r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0.821</w:t>
            </w:r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0.715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0.942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0.911</w:t>
            </w:r>
          </w:p>
        </w:tc>
      </w:tr>
      <w:tr>
        <w:tc>
          <w:tcPr>
            <w:tcW w:type="dxa" w:w="2494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Reg. logística + TF-IDF</w:t>
            </w:r>
          </w:p>
        </w:tc>
        <w:tc>
          <w:tcPr>
            <w:tcW w:type="dxa" w:w="96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0.865</w:t>
            </w:r>
          </w:p>
        </w:tc>
        <w:tc>
          <w:tcPr>
            <w:tcW w:type="dxa" w:w="1020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0.834</w:t>
            </w:r>
          </w:p>
        </w:tc>
        <w:tc>
          <w:tcPr>
            <w:tcW w:type="dxa" w:w="90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0.806</w:t>
            </w:r>
          </w:p>
        </w:tc>
        <w:tc>
          <w:tcPr>
            <w:tcW w:type="dxa" w:w="79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0.820</w:t>
            </w:r>
          </w:p>
        </w:tc>
        <w:tc>
          <w:tcPr>
            <w:tcW w:type="dxa" w:w="850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0.713</w:t>
            </w:r>
          </w:p>
        </w:tc>
        <w:tc>
          <w:tcPr>
            <w:tcW w:type="dxa" w:w="107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0.942</w:t>
            </w:r>
          </w:p>
        </w:tc>
        <w:tc>
          <w:tcPr>
            <w:tcW w:type="dxa" w:w="96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0.912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Gradient Boosting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0.818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0.766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0.749</w:t>
            </w:r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0.757</w:t>
            </w:r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0.612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0.900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0.845</w:t>
            </w:r>
          </w:p>
        </w:tc>
      </w:tr>
      <w:tr>
        <w:tc>
          <w:tcPr>
            <w:tcW w:type="dxa" w:w="2494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GB sin catador</w:t>
            </w:r>
          </w:p>
        </w:tc>
        <w:tc>
          <w:tcPr>
            <w:tcW w:type="dxa" w:w="96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0.817</w:t>
            </w:r>
          </w:p>
        </w:tc>
        <w:tc>
          <w:tcPr>
            <w:tcW w:type="dxa" w:w="1020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0.768</w:t>
            </w:r>
          </w:p>
        </w:tc>
        <w:tc>
          <w:tcPr>
            <w:tcW w:type="dxa" w:w="90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0.744</w:t>
            </w:r>
          </w:p>
        </w:tc>
        <w:tc>
          <w:tcPr>
            <w:tcW w:type="dxa" w:w="79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0.756</w:t>
            </w:r>
          </w:p>
        </w:tc>
        <w:tc>
          <w:tcPr>
            <w:tcW w:type="dxa" w:w="850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0.610</w:t>
            </w:r>
          </w:p>
        </w:tc>
        <w:tc>
          <w:tcPr>
            <w:tcW w:type="dxa" w:w="107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0.896</w:t>
            </w:r>
          </w:p>
        </w:tc>
        <w:tc>
          <w:tcPr>
            <w:tcW w:type="dxa" w:w="96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0.840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Random Forest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0.810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0.771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0.713</w:t>
            </w:r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0.741</w:t>
            </w:r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0.593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0.890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0.832</w:t>
            </w:r>
          </w:p>
        </w:tc>
      </w:tr>
      <w:tr>
        <w:tc>
          <w:tcPr>
            <w:tcW w:type="dxa" w:w="2494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Reg. logística (tabular)</w:t>
            </w:r>
          </w:p>
        </w:tc>
        <w:tc>
          <w:tcPr>
            <w:tcW w:type="dxa" w:w="96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0.806</w:t>
            </w:r>
          </w:p>
        </w:tc>
        <w:tc>
          <w:tcPr>
            <w:tcW w:type="dxa" w:w="1020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0.768</w:t>
            </w:r>
          </w:p>
        </w:tc>
        <w:tc>
          <w:tcPr>
            <w:tcW w:type="dxa" w:w="90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0.703</w:t>
            </w:r>
          </w:p>
        </w:tc>
        <w:tc>
          <w:tcPr>
            <w:tcW w:type="dxa" w:w="79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0.734</w:t>
            </w:r>
          </w:p>
        </w:tc>
        <w:tc>
          <w:tcPr>
            <w:tcW w:type="dxa" w:w="850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0.584</w:t>
            </w:r>
          </w:p>
        </w:tc>
        <w:tc>
          <w:tcPr>
            <w:tcW w:type="dxa" w:w="107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0.885</w:t>
            </w:r>
          </w:p>
        </w:tc>
        <w:tc>
          <w:tcPr>
            <w:tcW w:type="dxa" w:w="96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0.823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Árbol de decisión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0.794</w:t>
            </w:r>
          </w:p>
        </w:tc>
        <w:tc>
          <w:tcPr>
            <w:tcW w:type="dxa" w:w="1020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0.738</w:t>
            </w:r>
          </w:p>
        </w:tc>
        <w:tc>
          <w:tcPr>
            <w:tcW w:type="dxa" w:w="90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0.711</w:t>
            </w:r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0.724</w:t>
            </w:r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0.560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0.868</w:t>
            </w:r>
          </w:p>
        </w:tc>
        <w:tc>
          <w:tcPr>
            <w:tcW w:type="dxa" w:w="964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0.797</w:t>
            </w:r>
          </w:p>
        </w:tc>
      </w:tr>
      <w:tr>
        <w:tc>
          <w:tcPr>
            <w:tcW w:type="dxa" w:w="2494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Arial" w:hAnsi="Arial" w:eastAsia="Arial"/>
                <w:sz w:val="15"/>
              </w:rPr>
              <w:t>Baseline</w:t>
            </w:r>
          </w:p>
        </w:tc>
        <w:tc>
          <w:tcPr>
            <w:tcW w:type="dxa" w:w="96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0.620</w:t>
            </w:r>
          </w:p>
        </w:tc>
        <w:tc>
          <w:tcPr>
            <w:tcW w:type="dxa" w:w="1020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0.000</w:t>
            </w:r>
          </w:p>
        </w:tc>
        <w:tc>
          <w:tcPr>
            <w:tcW w:type="dxa" w:w="90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0.000</w:t>
            </w:r>
          </w:p>
        </w:tc>
        <w:tc>
          <w:tcPr>
            <w:tcW w:type="dxa" w:w="79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0.000</w:t>
            </w:r>
          </w:p>
        </w:tc>
        <w:tc>
          <w:tcPr>
            <w:tcW w:type="dxa" w:w="850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0.000</w:t>
            </w:r>
          </w:p>
        </w:tc>
        <w:tc>
          <w:tcPr>
            <w:tcW w:type="dxa" w:w="107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0.500</w:t>
            </w:r>
          </w:p>
        </w:tc>
        <w:tc>
          <w:tcPr>
            <w:tcW w:type="dxa" w:w="964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Arial" w:hAnsi="Arial" w:eastAsia="Arial"/>
                <w:sz w:val="15"/>
              </w:rPr>
              <w:t>0.380</w:t>
            </w:r>
          </w:p>
        </w:tc>
      </w:tr>
    </w:tbl>
    <w:p>
      <w:pPr>
        <w:spacing w:after="40" w:line="80" w:lineRule="exact"/>
      </w:pP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El mejor modelo por AUC es el </w:t>
      </w:r>
      <w:r>
        <w:rPr>
          <w:rFonts w:ascii="Arial" w:hAnsi="Arial" w:eastAsia="Arial"/>
          <w:b w:val="0"/>
          <w:i/>
          <w:color w:val="000000"/>
          <w:sz w:val="19"/>
        </w:rPr>
        <w:t>stacking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(0.9425), pero la regresión logística con TF-IDF (0.9423) es prácticamente equivalente y mucho más simple, por lo que se adopta como modelo final: </w:t>
      </w:r>
      <w:r>
        <w:rPr>
          <w:rFonts w:ascii="Arial" w:hAnsi="Arial" w:eastAsia="Arial"/>
          <w:b/>
          <w:i w:val="0"/>
          <w:color w:val="000000"/>
          <w:sz w:val="19"/>
        </w:rPr>
        <w:t>exactitud 86.5%, F1 0.820, AUC 0.942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frente a 62 % del baseline. Los resultados de prueba coinciden con los de validación cruzada (sin sobreajuste). Mediante bootstrap (300 réplicas) el intervalo de confianza al 95 % del AUC del modelo final es [0.940, 0.945] y el de F1 [0.814, 0.825]. La ventaja del modelo con texto sobre el boosting tabular es significativa: la diferencia de AUC (boosting − texto) tiene IC95 % [-0.045, -0.039], que no incluye el cero.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758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oc_p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5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10. Curvas ROC y Precisión-Recall en el conjunto de prueba.</w:t>
      </w:r>
    </w:p>
    <w:p>
      <w:pPr>
        <w:pStyle w:val="Heading2"/>
        <w:keepNext/>
        <w:spacing w:before="180" w:after="80" w:line="240" w:lineRule="exact"/>
        <w:jc w:val="left"/>
      </w:pPr>
      <w:r>
        <w:rPr>
          <w:rFonts w:ascii="Arial" w:hAnsi="Arial" w:eastAsia="Arial"/>
          <w:b/>
          <w:i w:val="0"/>
          <w:color w:val="333333"/>
          <w:sz w:val="23"/>
        </w:rPr>
        <w:t>5.2 Matriz de confusión y calibración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210944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confus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21094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0" w:line="220" w:lineRule="exact"/>
              <w:jc w:val="center"/>
            </w:pPr>
            <w:r>
              <w:rPr>
                <w:rFonts w:ascii="Arial" w:hAnsi="Arial" w:eastAsia="Arial"/>
                <w:b w:val="0"/>
                <w:i/>
                <w:color w:val="444444"/>
                <w:sz w:val="17"/>
              </w:rPr>
              <w:t>Figura 11. Matriz de confusión (modelo final: regresión logística + TF-IDF).</w:t>
            </w:r>
          </w:p>
        </w:tc>
        <w:tc>
          <w:tcPr>
            <w:tcW w:type="dxa" w:w="4535"/>
          </w:tcPr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219607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calibratio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196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0" w:line="220" w:lineRule="exact"/>
              <w:jc w:val="center"/>
            </w:pPr>
            <w:r>
              <w:rPr>
                <w:rFonts w:ascii="Arial" w:hAnsi="Arial" w:eastAsia="Arial"/>
                <w:b w:val="0"/>
                <w:i/>
                <w:color w:val="444444"/>
                <w:sz w:val="17"/>
              </w:rPr>
              <w:t>Figura 12. Curvas de calibración.</w:t>
            </w:r>
          </w:p>
        </w:tc>
      </w:tr>
    </w:tbl>
    <w:p>
      <w:pPr>
        <w:spacing w:after="40" w:line="80" w:lineRule="exact"/>
      </w:pP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Hay más falsos negativos (1 773) que falsos positivos (1 458); casi todos los errores ocurren en vinos de 89 a 91 puntos, junto al umbral (72 % de los errores; tasa de error de 33 % en los de 89 y 43 % en los de 90). Por rango de precio el error es de 4.2% en vinos &lt; 15 USD, 15.9% en 15–30, 17.6% en 30–60, 11.7% en 60–120 y 7.5% en &gt; 120 USD: la incertidumbre se concentra en la zona media de precios.</w:t>
      </w:r>
    </w:p>
    <w:p>
      <w:pPr>
        <w:pStyle w:val="Heading2"/>
        <w:keepNext/>
        <w:spacing w:before="180" w:after="80" w:line="240" w:lineRule="exact"/>
        <w:jc w:val="left"/>
      </w:pPr>
      <w:r>
        <w:rPr>
          <w:rFonts w:ascii="Arial" w:hAnsi="Arial" w:eastAsia="Arial"/>
          <w:b/>
          <w:i w:val="0"/>
          <w:color w:val="333333"/>
          <w:sz w:val="23"/>
        </w:rPr>
        <w:t>5.3 Interpretación: ¿qué explica la calidad?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Con importancia por permutación sobre el boosting, la variable más influyente es la </w:t>
      </w:r>
      <w:r>
        <w:rPr>
          <w:rFonts w:ascii="Arial" w:hAnsi="Arial" w:eastAsia="Arial"/>
          <w:b/>
          <w:i w:val="0"/>
          <w:color w:val="000000"/>
          <w:sz w:val="19"/>
        </w:rPr>
        <w:t>longitud de la reseña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(caída de AUC de 0.231), seguida del </w:t>
      </w:r>
      <w:r>
        <w:rPr>
          <w:rFonts w:ascii="Arial" w:hAnsi="Arial" w:eastAsia="Arial"/>
          <w:b/>
          <w:i w:val="0"/>
          <w:color w:val="000000"/>
          <w:sz w:val="19"/>
        </w:rPr>
        <w:t>precio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(0.157); catador (0.024), provincia (0.017), edad (0.014) y variedad (0.014) pesan mucho menos. Un boosting entrenado </w:t>
      </w:r>
      <w:r>
        <w:rPr>
          <w:rFonts w:ascii="Arial" w:hAnsi="Arial" w:eastAsia="Arial"/>
          <w:b/>
          <w:i w:val="0"/>
          <w:color w:val="000000"/>
          <w:sz w:val="19"/>
        </w:rPr>
        <w:t>sin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el catador pierde apenas 0.003 de AUC, así que el modelo no depende del sesgo del evaluador.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23128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ermutation_import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1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13. Importancia por permutación (caída del AUC).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En el texto, los términos que más suman a la alta calidad son </w:t>
      </w:r>
      <w:r>
        <w:rPr>
          <w:rFonts w:ascii="Arial" w:hAnsi="Arial" w:eastAsia="Arial"/>
          <w:b w:val="0"/>
          <w:i/>
          <w:color w:val="000000"/>
          <w:sz w:val="19"/>
        </w:rPr>
        <w:t>complex, beautiful, delicious, long, impressive, elegant, rich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; los que más restan, </w:t>
      </w:r>
      <w:r>
        <w:rPr>
          <w:rFonts w:ascii="Arial" w:hAnsi="Arial" w:eastAsia="Arial"/>
          <w:b w:val="0"/>
          <w:i/>
          <w:color w:val="000000"/>
          <w:sz w:val="19"/>
        </w:rPr>
        <w:t>simple, lacks, straightforward, somewhat, bit, little, easy</w:t>
      </w:r>
      <w:r>
        <w:rPr>
          <w:rFonts w:ascii="Arial" w:hAnsi="Arial" w:eastAsia="Arial"/>
          <w:b w:val="0"/>
          <w:i w:val="0"/>
          <w:color w:val="000000"/>
          <w:sz w:val="19"/>
        </w:rPr>
        <w:t>. Se verificó que solo el 3.3 % de las descripciones contienen números entre 80 y 100 (casi siempre porcentajes de mezcla de uvas) y apenas el 2 % de ellos coincide con el puntaje, por lo que no hay fuga directa de la etiqueta.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093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ext_term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09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20" w:lineRule="exact"/>
        <w:jc w:val="center"/>
      </w:pPr>
      <w:r>
        <w:rPr>
          <w:rFonts w:ascii="Arial" w:hAnsi="Arial" w:eastAsia="Arial"/>
          <w:b w:val="0"/>
          <w:i/>
          <w:color w:val="444444"/>
          <w:sz w:val="17"/>
        </w:rPr>
        <w:t>Figura 14. Términos con mayor coeficiente en la regresión logística.</w:t>
      </w:r>
    </w:p>
    <w:p>
      <w:pPr>
        <w:pStyle w:val="Heading2"/>
        <w:keepNext/>
        <w:spacing w:before="180" w:after="80" w:line="240" w:lineRule="exact"/>
        <w:jc w:val="left"/>
      </w:pPr>
      <w:r>
        <w:rPr>
          <w:rFonts w:ascii="Arial" w:hAnsi="Arial" w:eastAsia="Arial"/>
          <w:b/>
          <w:i w:val="0"/>
          <w:color w:val="333333"/>
          <w:sz w:val="23"/>
        </w:rPr>
        <w:t>5.4 Conclusiones y limitaciones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Es posible predecir la alta calidad con buena precisión (AUC ≈ 0.94).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El texto de la reseña aporta más que cualquier algoritmo más sofisticado (≈ +4 puntos de AUC frente a +3 por pasar de árbol a boosting).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La longitud de la reseña y el precio son las variables tabulares dominantes; el catador influye poco.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K-Means entrega cuatro perfiles de negocio interpretables, con fronteras difusas (silueta 0.195).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Limitaciones: datos de una sola revista hasta 2017; puntaje subjetivo; la reseña se escribe después de catar el vino, por lo que el modelo sirve para priorizar y analizar, no para estimar la calidad de un vino sin reseña; el umbral de 90 es una decisión de negocio.</w:t>
      </w:r>
    </w:p>
    <w:p>
      <w:pPr>
        <w:pStyle w:val="ListBullet"/>
        <w:spacing w:before="0" w:after="40" w:line="280" w:lineRule="exact"/>
        <w:ind w:left="28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Trabajo futuro: embeddings de lenguaje, regresión del puntaje exacto y validación temporal con reseñas posteriores.</w:t>
      </w:r>
    </w:p>
    <w:p>
      <w:pPr>
        <w:pStyle w:val="Heading1"/>
        <w:keepNext/>
        <w:spacing w:before="280" w:after="160" w:line="240" w:lineRule="exact"/>
        <w:jc w:val="left"/>
      </w:pPr>
      <w:r>
        <w:rPr>
          <w:rFonts w:ascii="Arial" w:hAnsi="Arial" w:eastAsia="Arial"/>
          <w:b/>
          <w:i w:val="0"/>
          <w:color w:val="7B1E3A"/>
          <w:sz w:val="30"/>
        </w:rPr>
        <w:t>6. Repositorio y reproducibilidad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El código completo (scripts por fase, cuaderno de Colab, figuras y resultados) está en el repositorio de GitHub indicado en la portada. Para reproducir:</w:t>
      </w:r>
    </w:p>
    <w:p>
      <w:pPr>
        <w:spacing w:before="0" w:after="160" w:line="200" w:lineRule="exact"/>
        <w:jc w:val="left"/>
        <w:shd w:val="clear" w:color="auto" w:fill="F3F3F3"/>
      </w:pPr>
      <w:r>
        <w:rPr>
          <w:rFonts w:ascii="Courier New" w:hAnsi="Courier New" w:eastAsia="Courier New"/>
          <w:b w:val="0"/>
          <w:i w:val="0"/>
          <w:color w:val="000000"/>
          <w:sz w:val="16"/>
        </w:rPr>
        <w:t>pip install -r requirements.txt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>python src/01_eda.py  &amp;&amp;  python src/02_preprocess.py  &amp;&amp;  python src/03_clustering.py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6"/>
        </w:rPr>
        <w:t>python src/04_modeling.py  &amp;&amp;  python src/05_evaluation.py</w:t>
      </w:r>
    </w:p>
    <w:p>
      <w:pPr>
        <w:sectPr>
          <w:footerReference w:type="default" r:id="rId9"/>
          <w:pgSz w:w="11906" w:h="16838"/>
          <w:pgMar w:top="1247" w:right="1134" w:bottom="1247" w:left="1134" w:header="720" w:footer="720" w:gutter="0"/>
          <w:cols w:space="720"/>
          <w:docGrid w:linePitch="360"/>
        </w:sectPr>
      </w:pPr>
    </w:p>
    <w:p>
      <w:pPr>
        <w:spacing w:before="0" w:after="0" w:line="240" w:lineRule="exact"/>
        <w:jc w:val="left"/>
      </w:pPr>
      <w:r>
        <w:rPr>
          <w:rFonts w:ascii="Arial" w:hAnsi="Arial" w:eastAsia="Arial"/>
          <w:b w:val="0"/>
          <w:i/>
          <w:color w:val="808080"/>
          <w:sz w:val="16"/>
        </w:rPr>
        <w:t>Anexo – Artículo técnico (formato IEEE short paper)</w:t>
      </w:r>
    </w:p>
    <w:p>
      <w:pPr>
        <w:spacing w:before="0" w:after="120" w:line="40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4"/>
        </w:rPr>
        <w:t>Predicción de la calidad de vinos a partir de reseñas de expertos: un caso de estudio de minería de datos</w:t>
      </w:r>
    </w:p>
    <w:p>
      <w:pPr>
        <w:spacing w:before="0" w:after="160" w:line="24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Edison Paul Llerena Cuzco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Universidad Estatal Amazónica, Asignatura de Minería de Datos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ep.llerenac@uea.edu.ec</w:t>
      </w:r>
    </w:p>
    <w:p>
      <w:pPr>
        <w:sectPr>
          <w:footerReference w:type="default" r:id="rId24"/>
          <w:pgSz w:w="12240" w:h="15840"/>
          <w:pgMar w:top="964" w:right="964" w:bottom="1020" w:left="964" w:header="720" w:footer="720" w:gutter="0"/>
          <w:docGrid w:linePitch="360"/>
          <w:cols w:num="1" w:space="340"/>
        </w:sectPr>
      </w:pPr>
    </w:p>
    <w:p>
      <w:pPr>
        <w:spacing w:before="0" w:after="120" w:line="212" w:lineRule="exact"/>
        <w:jc w:val="both"/>
      </w:pPr>
      <w:r>
        <w:rPr>
          <w:rFonts w:ascii="Times New Roman" w:hAnsi="Times New Roman" w:eastAsia="Times New Roman"/>
          <w:b/>
          <w:i/>
          <w:color w:val="000000"/>
          <w:sz w:val="18"/>
        </w:rPr>
        <w:t>Resumen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—Se estudia si la calidad de un vino (≥ 90 puntos) puede predecirse a partir de metadatos y del texto de la reseña del catador, usando 119 988 reseñas únicas de WineEnthusiast. Se compararon seis clasificadores con validación cruzada y un conjunto de prueba independiente, y se segmentó el catálogo con K-Means. Una regresión logística sobre TF-IDF alcanzó AUC = 0.942 y F1 = 0.820, frente a AUC = 0.900 del mejor modelo basado solo en variables tabulares. La longitud de la reseña y el precio resultaron las variables tabulares más influyentes.</w:t>
      </w:r>
    </w:p>
    <w:p>
      <w:pPr>
        <w:spacing w:before="0" w:after="120" w:line="212" w:lineRule="exact"/>
        <w:jc w:val="both"/>
      </w:pPr>
      <w:r>
        <w:rPr>
          <w:rFonts w:ascii="Times New Roman" w:hAnsi="Times New Roman" w:eastAsia="Times New Roman"/>
          <w:b/>
          <w:i/>
          <w:color w:val="000000"/>
          <w:sz w:val="18"/>
        </w:rPr>
        <w:t>Términos clave</w:t>
      </w:r>
      <w:r>
        <w:rPr>
          <w:rFonts w:ascii="Times New Roman" w:hAnsi="Times New Roman" w:eastAsia="Times New Roman"/>
          <w:b/>
          <w:i w:val="0"/>
          <w:color w:val="000000"/>
          <w:sz w:val="18"/>
        </w:rPr>
        <w:t>—minería de datos, clasificación, TF-IDF, regresión logística, gradient boosting, K-Means, vinos.</w:t>
      </w:r>
    </w:p>
    <w:p>
      <w:pPr>
        <w:keepNext/>
        <w:spacing w:before="140" w:after="60" w:line="22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I. INTRODUCCIÓN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Los puntajes de catadores profesionales influyen en el precio y la demanda del vino, pero no están disponibles para todos los productos. Predecir si un vino superará un umbral de calidad permite priorizar catas y compras. Trabajos previos sobre calidad de vinos usan propiedades fisicoquímicas [1]; aquí se emplean en cambio metadatos comerciales y el texto de la reseña [2]. El objetivo es cuantificar cuánta información aporta cada fuente y qué algoritmo la explota mejor.</w:t>
      </w:r>
    </w:p>
    <w:p>
      <w:pPr>
        <w:keepNext/>
        <w:spacing w:before="140" w:after="60" w:line="22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II. DATOS Y PREPROCESAMIENTO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Se utilizó el conjunto </w:t>
      </w:r>
      <w:r>
        <w:rPr>
          <w:rFonts w:ascii="Arial" w:hAnsi="Arial" w:eastAsia="Arial"/>
          <w:b w:val="0"/>
          <w:i/>
          <w:color w:val="000000"/>
          <w:sz w:val="19"/>
        </w:rPr>
        <w:t>Wine Reviews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de Kaggle (129 971 reseñas, 13 variables). Se eliminaron 9 983 duplicados y las columnas </w:t>
      </w:r>
      <w:r>
        <w:rPr>
          <w:rFonts w:ascii="Arial" w:hAnsi="Arial" w:eastAsia="Arial"/>
          <w:b w:val="0"/>
          <w:i/>
          <w:color w:val="000000"/>
          <w:sz w:val="19"/>
        </w:rPr>
        <w:t>region_2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(61 % nulos) y </w:t>
      </w:r>
      <w:r>
        <w:rPr>
          <w:rFonts w:ascii="Arial" w:hAnsi="Arial" w:eastAsia="Arial"/>
          <w:b w:val="0"/>
          <w:i/>
          <w:color w:val="000000"/>
          <w:sz w:val="19"/>
        </w:rPr>
        <w:t>taster_twitter_handle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El precio se recortó al percentil 99.9, se imputó con la mediana y se transformó con logaritmo; la cosecha se extrajo del título mediante expresiones regulares (96.4 %); se derivaron la longitud de la reseña y dos indicadores binarios. La variable objetivo es </w:t>
      </w:r>
      <w:r>
        <w:rPr>
          <w:rFonts w:ascii="Arial" w:hAnsi="Arial" w:eastAsia="Arial"/>
          <w:b w:val="0"/>
          <w:i/>
          <w:color w:val="000000"/>
          <w:sz w:val="19"/>
        </w:rPr>
        <w:t>points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≥ 90 (38.0 % de positivos). La imputación, el escalado, la codificación y el TF-IDF (unigramas y bigramas, 20 000 términos) se ajustaron solo con el conjunto de entrenamiento mediante </w:t>
      </w:r>
      <w:r>
        <w:rPr>
          <w:rFonts w:ascii="Arial" w:hAnsi="Arial" w:eastAsia="Arial"/>
          <w:b w:val="0"/>
          <w:i/>
          <w:color w:val="000000"/>
          <w:sz w:val="19"/>
        </w:rPr>
        <w:t>pipelines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keepNext/>
        <w:spacing w:before="140" w:after="60" w:line="22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III. METODOLOGÍA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Se dividió el conjunto en 80 % entrenamiento y 20 % prueba (estratificado, semilla 42). Los modelos comparados fueron: línea base (clase mayoritaria), regresión logística, árbol de decisión, </w:t>
      </w:r>
      <w:r>
        <w:rPr>
          <w:rFonts w:ascii="Arial" w:hAnsi="Arial" w:eastAsia="Arial"/>
          <w:b w:val="0"/>
          <w:i/>
          <w:color w:val="000000"/>
          <w:sz w:val="19"/>
        </w:rPr>
        <w:t>Random Forest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Arial" w:hAnsi="Arial" w:eastAsia="Arial"/>
          <w:b w:val="0"/>
          <w:i/>
          <w:color w:val="000000"/>
          <w:sz w:val="19"/>
        </w:rPr>
        <w:t>gradient boosting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con histogramas y regresión logística con TF-IDF, además de un ensamble </w:t>
      </w:r>
      <w:r>
        <w:rPr>
          <w:rFonts w:ascii="Arial" w:hAnsi="Arial" w:eastAsia="Arial"/>
          <w:b w:val="0"/>
          <w:i/>
          <w:color w:val="000000"/>
          <w:sz w:val="19"/>
        </w:rPr>
        <w:t>stacking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Los hiperparámetros se ajustaron con búsqueda en rejilla (3 folds, AUC) y la comparación se hizo con validación cruzada de 5 folds. Como modelo descriptivo se aplicó K-Means (k = 4) sobre puntaje, log-precio, edad y longitud de la reseña. Se reportan exactitud, precisión, </w:t>
      </w:r>
      <w:r>
        <w:rPr>
          <w:rFonts w:ascii="Arial" w:hAnsi="Arial" w:eastAsia="Arial"/>
          <w:b w:val="0"/>
          <w:i/>
          <w:color w:val="000000"/>
          <w:sz w:val="19"/>
        </w:rPr>
        <w:t>recall</w:t>
      </w:r>
      <w:r>
        <w:rPr>
          <w:rFonts w:ascii="Arial" w:hAnsi="Arial" w:eastAsia="Arial"/>
          <w:b w:val="0"/>
          <w:i w:val="0"/>
          <w:color w:val="000000"/>
          <w:sz w:val="19"/>
        </w:rPr>
        <w:t>, F1, MCC, AUC-ROC y PR-AUC, con intervalos bootstrap e importancia por permutación.</w:t>
      </w:r>
    </w:p>
    <w:p>
      <w:pPr>
        <w:keepNext/>
        <w:spacing w:before="140" w:after="60" w:line="22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IV. RESULTADOS</w:t>
      </w:r>
    </w:p>
    <w:p>
      <w:pPr>
        <w:keepNext/>
        <w:spacing w:before="80" w:after="40" w:line="220" w:lineRule="exact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A. Comparación de modelos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La Tabla I resume el conjunto de prueba. Los resultados de validación cruzada son consistentes (desviación típica ≤ 0.003 en AUC), lo que descarta sobreajuste.</w:t>
      </w:r>
    </w:p>
    <w:p>
      <w:pPr>
        <w:spacing w:before="0" w:after="100" w:line="19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TABLA I. DESEMPEÑO EN EL CONJUNTO DE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381"/>
            <w:shd w:val="clear" w:color="auto" w:fill="7B1E3A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Modelo</w:t>
            </w:r>
          </w:p>
        </w:tc>
        <w:tc>
          <w:tcPr>
            <w:tcW w:type="dxa" w:w="737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Acc.</w:t>
            </w:r>
          </w:p>
        </w:tc>
        <w:tc>
          <w:tcPr>
            <w:tcW w:type="dxa" w:w="737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F1</w:t>
            </w:r>
          </w:p>
        </w:tc>
        <w:tc>
          <w:tcPr>
            <w:tcW w:type="dxa" w:w="737"/>
            <w:shd w:val="clear" w:color="auto" w:fill="7B1E3A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AUC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Baseline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0.620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0.000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0.500</w:t>
            </w:r>
          </w:p>
        </w:tc>
      </w:tr>
      <w:tr>
        <w:tc>
          <w:tcPr>
            <w:tcW w:type="dxa" w:w="2381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Árbol de decisión</w:t>
            </w:r>
          </w:p>
        </w:tc>
        <w:tc>
          <w:tcPr>
            <w:tcW w:type="dxa" w:w="73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0.794</w:t>
            </w:r>
          </w:p>
        </w:tc>
        <w:tc>
          <w:tcPr>
            <w:tcW w:type="dxa" w:w="73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0.724</w:t>
            </w:r>
          </w:p>
        </w:tc>
        <w:tc>
          <w:tcPr>
            <w:tcW w:type="dxa" w:w="73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0.868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Reg. logística (tabular)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0.806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0.734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0.885</w:t>
            </w:r>
          </w:p>
        </w:tc>
      </w:tr>
      <w:tr>
        <w:tc>
          <w:tcPr>
            <w:tcW w:type="dxa" w:w="2381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Random Forest</w:t>
            </w:r>
          </w:p>
        </w:tc>
        <w:tc>
          <w:tcPr>
            <w:tcW w:type="dxa" w:w="73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0.810</w:t>
            </w:r>
          </w:p>
        </w:tc>
        <w:tc>
          <w:tcPr>
            <w:tcW w:type="dxa" w:w="73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0.741</w:t>
            </w:r>
          </w:p>
        </w:tc>
        <w:tc>
          <w:tcPr>
            <w:tcW w:type="dxa" w:w="73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0.890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Gradient Boosting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0.818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0.757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0.900</w:t>
            </w:r>
          </w:p>
        </w:tc>
      </w:tr>
      <w:tr>
        <w:tc>
          <w:tcPr>
            <w:tcW w:type="dxa" w:w="2381"/>
            <w:shd w:val="clear" w:color="auto" w:fill="F7EEF1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Reg. logística + TF-IDF</w:t>
            </w:r>
          </w:p>
        </w:tc>
        <w:tc>
          <w:tcPr>
            <w:tcW w:type="dxa" w:w="73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0.865</w:t>
            </w:r>
          </w:p>
        </w:tc>
        <w:tc>
          <w:tcPr>
            <w:tcW w:type="dxa" w:w="73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0.820</w:t>
            </w:r>
          </w:p>
        </w:tc>
        <w:tc>
          <w:tcPr>
            <w:tcW w:type="dxa" w:w="737"/>
            <w:shd w:val="clear" w:color="auto" w:fill="F7EEF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0.942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  <w:jc w:val="left"/>
            </w:pPr>
            <w:r>
              <w:rPr>
                <w:rFonts w:ascii="Times New Roman" w:hAnsi="Times New Roman" w:eastAsia="Times New Roman"/>
                <w:sz w:val="15"/>
              </w:rPr>
              <w:t>Stacking texto+tabular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0.867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0.821</w:t>
            </w:r>
          </w:p>
        </w:tc>
        <w:tc>
          <w:tcPr>
            <w:tcW w:type="dxa" w:w="73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Times New Roman"/>
                <w:sz w:val="15"/>
              </w:rPr>
              <w:t>0.942</w:t>
            </w:r>
          </w:p>
        </w:tc>
      </w:tr>
    </w:tbl>
    <w:p>
      <w:pPr>
        <w:spacing w:after="40" w:line="80" w:lineRule="exact"/>
      </w:pP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El texto es el factor decisivo: añadirlo eleva el AUC de 0.900 a 0.942 (diferencia con IC95 % [0.039, 0.045]), más que pasar de un árbol a </w:t>
      </w:r>
      <w:r>
        <w:rPr>
          <w:rFonts w:ascii="Arial" w:hAnsi="Arial" w:eastAsia="Arial"/>
          <w:b w:val="0"/>
          <w:i/>
          <w:color w:val="000000"/>
          <w:sz w:val="19"/>
        </w:rPr>
        <w:t>boosting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(+0.032). El </w:t>
      </w:r>
      <w:r>
        <w:rPr>
          <w:rFonts w:ascii="Arial" w:hAnsi="Arial" w:eastAsia="Arial"/>
          <w:b w:val="0"/>
          <w:i/>
          <w:color w:val="000000"/>
          <w:sz w:val="19"/>
        </w:rPr>
        <w:t>stacking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mejora solo 0.0002 en AUC sobre la regresión con texto, sin justificar su costo.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96000" cy="12072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oc_p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207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19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Fig. 1. Curvas ROC y Precisión-Recall (prueba).</w:t>
      </w:r>
    </w:p>
    <w:p>
      <w:pPr>
        <w:keepNext/>
        <w:spacing w:before="80" w:after="40" w:line="220" w:lineRule="exact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B. Variables influyentes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La importancia por permutación (Fig. 2) sitúa en primer lugar la longitud de la reseña (ΔAUC = 0.231) y luego el precio (0.157). El catador pesa poco (0.024); sin él, el AUC del </w:t>
      </w:r>
      <w:r>
        <w:rPr>
          <w:rFonts w:ascii="Arial" w:hAnsi="Arial" w:eastAsia="Arial"/>
          <w:b w:val="0"/>
          <w:i/>
          <w:color w:val="000000"/>
          <w:sz w:val="19"/>
        </w:rPr>
        <w:t>boosting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baja solo 0.003. En el texto, términos como </w:t>
      </w:r>
      <w:r>
        <w:rPr>
          <w:rFonts w:ascii="Arial" w:hAnsi="Arial" w:eastAsia="Arial"/>
          <w:b w:val="0"/>
          <w:i/>
          <w:color w:val="000000"/>
          <w:sz w:val="19"/>
        </w:rPr>
        <w:t>complex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Arial" w:hAnsi="Arial" w:eastAsia="Arial"/>
          <w:b w:val="0"/>
          <w:i/>
          <w:color w:val="000000"/>
          <w:sz w:val="19"/>
        </w:rPr>
        <w:t>beautiful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Arial" w:hAnsi="Arial" w:eastAsia="Arial"/>
          <w:b w:val="0"/>
          <w:i/>
          <w:color w:val="000000"/>
          <w:sz w:val="19"/>
        </w:rPr>
        <w:t>elegant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y </w:t>
      </w:r>
      <w:r>
        <w:rPr>
          <w:rFonts w:ascii="Arial" w:hAnsi="Arial" w:eastAsia="Arial"/>
          <w:b w:val="0"/>
          <w:i/>
          <w:color w:val="000000"/>
          <w:sz w:val="19"/>
        </w:rPr>
        <w:t>rich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elevan la probabilidad de alta calidad, mientras que </w:t>
      </w:r>
      <w:r>
        <w:rPr>
          <w:rFonts w:ascii="Arial" w:hAnsi="Arial" w:eastAsia="Arial"/>
          <w:b w:val="0"/>
          <w:i/>
          <w:color w:val="000000"/>
          <w:sz w:val="19"/>
        </w:rPr>
        <w:t>simple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Arial" w:hAnsi="Arial" w:eastAsia="Arial"/>
          <w:b w:val="0"/>
          <w:i/>
          <w:color w:val="000000"/>
          <w:sz w:val="19"/>
        </w:rPr>
        <w:t>lacks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y </w:t>
      </w:r>
      <w:r>
        <w:rPr>
          <w:rFonts w:ascii="Arial" w:hAnsi="Arial" w:eastAsia="Arial"/>
          <w:b w:val="0"/>
          <w:i/>
          <w:color w:val="000000"/>
          <w:sz w:val="19"/>
        </w:rPr>
        <w:t>straightforward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la reducen.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736000" cy="18502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ermutation_import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1850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19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Fig. 2. Importancia por permutación (ΔAUC).</w:t>
      </w:r>
    </w:p>
    <w:p>
      <w:pPr>
        <w:keepNext/>
        <w:spacing w:before="80" w:after="40" w:line="220" w:lineRule="exact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C. Segmentación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K-Means identificó cuatro segmentos: </w:t>
      </w:r>
      <w:r>
        <w:rPr>
          <w:rFonts w:ascii="Arial" w:hAnsi="Arial" w:eastAsia="Arial"/>
          <w:b w:val="0"/>
          <w:i/>
          <w:color w:val="000000"/>
          <w:sz w:val="19"/>
        </w:rPr>
        <w:t>Premium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(20 %, 92.2 puntos, 60 USD), </w:t>
      </w:r>
      <w:r>
        <w:rPr>
          <w:rFonts w:ascii="Arial" w:hAnsi="Arial" w:eastAsia="Arial"/>
          <w:b w:val="0"/>
          <w:i/>
          <w:color w:val="000000"/>
          <w:sz w:val="19"/>
        </w:rPr>
        <w:t>Calidad-precio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(34 %, 89.3 puntos, 27 USD), </w:t>
      </w:r>
      <w:r>
        <w:rPr>
          <w:rFonts w:ascii="Arial" w:hAnsi="Arial" w:eastAsia="Arial"/>
          <w:b w:val="0"/>
          <w:i/>
          <w:color w:val="000000"/>
          <w:sz w:val="19"/>
        </w:rPr>
        <w:t>Maduros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(16 %, edad media 11.9 años) y </w:t>
      </w:r>
      <w:r>
        <w:rPr>
          <w:rFonts w:ascii="Arial" w:hAnsi="Arial" w:eastAsia="Arial"/>
          <w:b w:val="0"/>
          <w:i/>
          <w:color w:val="000000"/>
          <w:sz w:val="19"/>
        </w:rPr>
        <w:t>Económicos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(30 %, 85.4 puntos, 15 USD). La silueta es moderada (0.21), reflejo de que la calidad es un continuo.</w:t>
      </w:r>
    </w:p>
    <w:p>
      <w:pPr>
        <w:keepNext/>
        <w:spacing w:before="80" w:after="40" w:line="220" w:lineRule="exact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D. Análisis de errores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El 72 % de los errores corresponde a vinos de 89–91 puntos, junto al umbral de decisión; el error es bajo en vinos muy baratos (4 %) o muy caros (7.5 %) y mayor entre 15 y 60 USD (16–18 %).</w:t>
      </w:r>
    </w:p>
    <w:p>
      <w:pPr>
        <w:keepNext/>
        <w:spacing w:before="140" w:after="60" w:line="22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V. DISCUSIÓN Y LIMITACIONES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 xml:space="preserve">Las reseñas se redactan tras catar el vino, por lo que el modelo no estima la calidad </w:t>
      </w:r>
      <w:r>
        <w:rPr>
          <w:rFonts w:ascii="Arial" w:hAnsi="Arial" w:eastAsia="Arial"/>
          <w:b w:val="0"/>
          <w:i/>
          <w:color w:val="000000"/>
          <w:sz w:val="19"/>
        </w:rPr>
        <w:t>ex ante</w:t>
      </w:r>
      <w:r>
        <w:rPr>
          <w:rFonts w:ascii="Arial" w:hAnsi="Arial" w:eastAsia="Arial"/>
          <w:b w:val="0"/>
          <w:i w:val="0"/>
          <w:color w:val="000000"/>
          <w:sz w:val="19"/>
        </w:rPr>
        <w:t>, sino que permite priorizar y auditar puntajes. Los datos provienen de una sola revista hasta 2017 y el puntaje es subjetivo. Solo el 3.3 % de las descripciones contiene números entre 80 y 100 (casi siempre porcentajes de uva), lo que descarta fuga directa de la etiqueta. El umbral de 90 puntos es una decisión de negocio.</w:t>
      </w:r>
    </w:p>
    <w:p>
      <w:pPr>
        <w:keepNext/>
        <w:spacing w:before="140" w:after="60" w:line="22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VI. CONCLUSIONES</w:t>
      </w:r>
    </w:p>
    <w:p>
      <w:pPr>
        <w:spacing w:before="0" w:after="120" w:line="280" w:lineRule="exact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Con precio, origen y texto de la reseña es posible predecir la alta calidad de un vino con exactitud de 86.5% y AUC de 0.942. La información textual supera en aporte a la sofisticación del algoritmo. Como trabajo futuro se proponen embeddings de lenguaje, regresión del puntaje exacto y validación temporal.</w:t>
      </w:r>
    </w:p>
    <w:p>
      <w:pPr>
        <w:keepNext/>
        <w:spacing w:before="140" w:after="60" w:line="220" w:lineRule="exact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REFERENCIAS</w:t>
      </w:r>
    </w:p>
    <w:p>
      <w:pPr>
        <w:spacing w:before="0" w:after="40" w:line="188" w:lineRule="exact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[1] P. Cortez, A. Cerdeira, F. Almeida, T. Matos y J. Reis, “Modeling wine preferences by data mining from physicochemical properties,”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Decision Support Systems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, vol. 47, n.º 4, pp. 547–553, 2009.</w:t>
      </w:r>
    </w:p>
    <w:p>
      <w:pPr>
        <w:spacing w:before="0" w:after="40" w:line="188" w:lineRule="exact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[2] Z. Thoutt, “Wine Reviews,” Kaggle, 2017. [En línea]. Disponible: https://www.kaggle.com/datasets/zynicide/wine-reviews</w:t>
      </w:r>
    </w:p>
    <w:p>
      <w:pPr>
        <w:spacing w:before="0" w:after="40" w:line="188" w:lineRule="exact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[3] F. Pedregosa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et al.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, “Scikit-learn: Machine learning in Python,”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J. Mach. Learn. Res.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, vol. 12, pp. 2825–2830, 2011.</w:t>
      </w:r>
    </w:p>
    <w:p>
      <w:pPr>
        <w:spacing w:before="0" w:after="40" w:line="188" w:lineRule="exact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[4] T. Hastie, R. Tibshirani y J. Friedman, </w:t>
      </w:r>
      <w:r>
        <w:rPr>
          <w:rFonts w:ascii="Times New Roman" w:hAnsi="Times New Roman" w:eastAsia="Times New Roman"/>
          <w:b w:val="0"/>
          <w:i/>
          <w:color w:val="000000"/>
          <w:sz w:val="16"/>
        </w:rPr>
        <w:t>The Elements of Statistical Learning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, 2.ª ed. Springer, 2009.</w:t>
      </w:r>
    </w:p>
    <w:sectPr w:rsidR="00FC693F" w:rsidRPr="0006063C" w:rsidSect="00034616">
      <w:type w:val="continuous"/>
      <w:pgSz w:w="12240" w:h="15840"/>
      <w:pgMar w:top="964" w:right="964" w:bottom="1020" w:left="964" w:header="720" w:footer="720" w:gutter="0"/>
      <w:docGrid w:linePitch="360"/>
      <w:cols w:num="2" w:space="3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 xml:space="preserve">Minería de Datos – Práctica 1 · Wine Reviews · pág.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6"/>
      </w:rPr>
      <w:t xml:space="preserve">Artículo IEEE short paper · pág.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B1E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333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1 – Minería de Datos: Wine Reviews</dc:title>
  <dc:subject>Predicción de la calidad de vinos a partir de reseñas de catadores</dc:subject>
  <dc:creator>Edison Paul Llerena Cuzco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