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A Hybrid Artificial Intelligence Framework for Reconstructing the Diachronic Phonological and Semantic Evolution of Marathi from Sanskrit</w:t>
      </w:r>
    </w:p>
    <w:p>
      <w:pPr>
        <w:pStyle w:val="AuthorName"/>
      </w:pPr>
      <w:r>
        <w:t xml:space="preserve">[Author Name 1], [Author Name 2], [Author Name 3]</w:t>
      </w:r>
    </w:p>
    <w:p>
      <w:pPr>
        <w:pStyle w:val="AuthorAffil"/>
      </w:pPr>
      <w:r>
        <w:t xml:space="preserve">Department of Information Technology, Marathwada Mitra Mandal’s College of Engineering, Karvenagar, Pune, Maharashtra, India</w:t>
      </w:r>
    </w:p>
    <w:p>
      <w:pPr>
        <w:pStyle w:val="AuthorAffil"/>
      </w:pPr>
      <w:r>
        <w:t xml:space="preserve">Center for Advanced Natural Language Processing and Computational Historical Linguistics</w:t>
      </w:r>
    </w:p>
    <w:p>
      <w:pPr>
        <w:pStyle w:val="AuthorAffil"/>
      </w:pPr>
      <w:r>
        <w:t xml:space="preserve">Email: mmrps-research@mmcoe.edu.in</w:t>
      </w:r>
    </w:p>
    <w:p>
      <w:pPr>
        <w:sectPr>
          <w:pgSz w:w="11906" w:h="16838"/>
          <w:pgMar w:top="1080" w:right="900" w:bottom="1440" w:left="900" w:header="720" w:footer="720" w:gutter="0"/>
          <w:cols w:num="1"/>
        </w:sectPr>
      </w:pPr>
    </w:p>
    <w:p>
      <w:pPr>
        <w:pStyle w:val="AbstractText"/>
      </w:pPr>
      <w:r>
        <w:rPr>
          <w:iCs/>
          <w:i/>
          <w:bCs/>
          <w:b/>
        </w:rPr>
        <w:t xml:space="preserve">Abstract</w:t>
      </w:r>
      <w:r>
        <w:rPr>
          <w:bCs/>
          <w:b/>
        </w:rPr>
        <w:t xml:space="preserve">—Marathi evolved systematically from Old Indo-Aryan (Sanskrit) through Maharashtri Prakrit and Apabhraṃśa into New Indo-Aryan, yet no computational framework simulates this trajectory in an interpretable way. Conventional neural sequence-to-sequence models behave as black boxes, often hallucinate phonotactically illegal forms, and generalize poorly on low-resource historical corpora. This paper proposes a hybrid artificial intelligence framework that couples a rule-based engine of historical sound laws with a phoneme-level Transformer grounded in articulatory features from the International Phonetic Alphabet (IPA). The model uses a rule-constrained cross-attention mechanism, a contrastive objective for diachronic semantic drift, and a derivation module that outputs intermediate phonetic stages. Evaluated on a curated corpus of 12,500 aligned Sanskrit–Marathi cognate pairs drawn from classical lexicographical sources, the framework reaches a Character Error Rate of 6.12%, a Phonetic Edit Distance of 0.41, and a chrF++ score of 89.43, clearly outperforming rule-only, recurrent, and unconstrained Transformer baselines. The work contributes an interpretable paradigm for computational historical linguistics, low-resource Indic language technology, and digital preservation of linguistic heritage.</w:t>
      </w:r>
    </w:p>
    <w:p>
      <w:pPr>
        <w:pStyle w:val="AbstractText"/>
      </w:pPr>
      <w:r>
        <w:rPr>
          <w:iCs/>
          <w:i/>
          <w:bCs/>
          <w:b/>
        </w:rPr>
        <w:t xml:space="preserve">Keywords</w:t>
      </w:r>
      <w:r>
        <w:rPr>
          <w:bCs/>
          <w:b/>
        </w:rPr>
        <w:t xml:space="preserve">—Computational Historical Linguistics, Explainable Artificial Intelligence, Transformer Architectures, Indo-Aryan Phonology, Semantic Drift Modeling.</w:t>
      </w:r>
    </w:p>
    <w:bookmarkStart w:id="20" w:name="i.-introduction"/>
    <w:p>
      <w:pPr>
        <w:pStyle w:val="Heading1"/>
      </w:pPr>
      <w:r>
        <w:t xml:space="preserve">I. Introduction</w:t>
      </w:r>
    </w:p>
    <w:p>
      <w:pPr>
        <w:pStyle w:val="FirstParagraph"/>
      </w:pPr>
      <w:r>
        <w:t xml:space="preserve">Modern Indo-Aryan languages are among the best-documented yet least computationally formalized products of language change. Marathi, spoken by more than 80 million people and recognized as a classical language of India since 2024 [1], descends from Old Indo-Aryan (OIA, chiefly Classical and Vedic Sanskrit) through Middle Indo-Aryan (MIA) vernaculars [2]–[4]. Its lineage passes through the regional Prakrits, most prominently Maharashtri Prakrit, the administrative and poetic medium of the Satavahana period, and then through regional Apabhraṃśa varieties, before appearing as Old Marathi in epigraphic records of the eleventh and twelfth centuries and finally as Modern Marathi [2], [4]. Classical philology showed that this multi-millennial continuum followed regular sound laws [5], [6]. These include weakening and elision of intervocalic single stops, assimilation of heterogeneous consonant clusters into geminates, later degemination with compensatory lengthening of the preceding vowel, retroflexion of dental sonorants, emergence of the retroflex lateral, and deletion of word-final vowels [2]–[4].</w:t>
      </w:r>
    </w:p>
    <w:p>
      <w:pPr>
        <w:pStyle w:val="BodyText"/>
      </w:pPr>
      <w:r>
        <w:t xml:space="preserve">Despite this exhaustive manual documentation, computational linguistics has largely treated language as a synchronic, static object. Contemporary Natural Language Processing (NLP) concentrates on high-resource tasks such as machine translation, classification, dialogue, and speech recognition. Self-attention Transformers [7] define the state of the art on these tasks, but applying them to diachronic reconstruction raises methodological hurdles. Standard sequence models operate on orthographic characters or statistically derived subwords such as byte-pair encodings [8]. These surface units hide articulatory and phonotactic structure and treat phonemes as arbitrary integers rather than bundles of distinctive features. Without the inductive bias of regular sound change, such models often predict phonotactically illegal segments and generalize poorly from small etymological datasets [9].</w:t>
      </w:r>
    </w:p>
    <w:p>
      <w:pPr>
        <w:pStyle w:val="BodyText"/>
      </w:pPr>
      <w:r>
        <w:t xml:space="preserve">A second deficiency is opacity. In historical linguistics, the validity of a derivation rests on procedural traceability. A reconstruction cannot merely assert that Sanskrit</w:t>
      </w:r>
      <w:r>
        <w:t xml:space="preserve"> </w:t>
      </w:r>
      <w:r>
        <w:rPr>
          <w:iCs/>
          <w:i/>
        </w:rPr>
        <w:t xml:space="preserve">hasta</w:t>
      </w:r>
      <w:r>
        <w:t xml:space="preserve"> </w:t>
      </w:r>
      <w:r>
        <w:t xml:space="preserve">yields Marathi</w:t>
      </w:r>
      <w:r>
        <w:t xml:space="preserve"> </w:t>
      </w:r>
      <w:r>
        <w:rPr>
          <w:iCs/>
          <w:i/>
        </w:rPr>
        <w:t xml:space="preserve">hāt</w:t>
      </w:r>
      <w:r>
        <w:t xml:space="preserve">; it must show that the cluster</w:t>
      </w:r>
      <w:r>
        <w:t xml:space="preserve"> </w:t>
      </w:r>
      <w:r>
        <w:rPr>
          <w:iCs/>
          <w:i/>
        </w:rPr>
        <w:t xml:space="preserve">/st/</w:t>
      </w:r>
      <w:r>
        <w:t xml:space="preserve"> </w:t>
      </w:r>
      <w:r>
        <w:t xml:space="preserve">assimilated to the Maharashtri Prakrit geminate</w:t>
      </w:r>
      <w:r>
        <w:t xml:space="preserve"> </w:t>
      </w:r>
      <w:r>
        <w:rPr>
          <w:iCs/>
          <w:i/>
        </w:rPr>
        <w:t xml:space="preserve">hattha</w:t>
      </w:r>
      <w:r>
        <w:t xml:space="preserve">, and that New Indo-Aryan degemination then lengthened the preceding vowel to give the modern form. Black-box neural systems cannot justify such steps. Language change also involves semantic drift, as words broaden, narrow, or shift metaphorically over centuries. Indic NLP initiatives such as AI4Bharat have produced valuable transliteration and translation resources [10], but diachronically aligned etymological corpora and models for Indic historical evolution are still lacking.</w:t>
      </w:r>
    </w:p>
    <w:p>
      <w:pPr>
        <w:pStyle w:val="BodyText"/>
      </w:pPr>
      <w:r>
        <w:rPr>
          <w:bCs/>
          <w:b/>
        </w:rPr>
        <w:t xml:space="preserve">Research gap.</w:t>
      </w:r>
      <w:r>
        <w:t xml:space="preserve"> </w:t>
      </w:r>
      <w:r>
        <w:t xml:space="preserve">No existing framework unites explicit historical sound-law knowledge, articulatory feature grounding, semantic drift modeling, and auditable derivation output for the Sanskrit-to-Marathi trajectory.</w:t>
      </w:r>
    </w:p>
    <w:p>
      <w:pPr>
        <w:pStyle w:val="BodyText"/>
      </w:pPr>
      <w:r>
        <w:rPr>
          <w:bCs/>
          <w:b/>
        </w:rPr>
        <w:t xml:space="preserve">Objectives.</w:t>
      </w:r>
      <w:r>
        <w:t xml:space="preserve"> </w:t>
      </w:r>
      <w:r>
        <w:t xml:space="preserve">This study aims to (i) formalize attested OIA→MIA→NIA sound laws as an executable rule engine; (ii) couple that engine with a phoneme-level Transformer over IPA articulatory features; (iii) model semantic drift between ancient etyma and modern reflexes; and (iv) produce human-auditable derivation traces.</w:t>
      </w:r>
    </w:p>
    <w:p>
      <w:pPr>
        <w:pStyle w:val="BodyText"/>
      </w:pPr>
      <w:r>
        <w:rPr>
          <w:bCs/>
          <w:b/>
        </w:rPr>
        <w:t xml:space="preserve">Contributions.</w:t>
      </w:r>
      <w:r>
        <w:t xml:space="preserve"> </w:t>
      </w:r>
      <w:r>
        <w:t xml:space="preserve">The main contributions are:</w:t>
      </w:r>
    </w:p>
    <w:p>
      <w:pPr>
        <w:numPr>
          <w:ilvl w:val="0"/>
          <w:numId w:val="1001"/>
        </w:numPr>
        <w:pStyle w:val="Compact"/>
      </w:pPr>
      <w:r>
        <w:t xml:space="preserve">a rule-constrained cross-attention mechanism that penalizes phonotactically illegal transitions while retaining neural flexibility for irregular items;</w:t>
      </w:r>
    </w:p>
    <w:p>
      <w:pPr>
        <w:numPr>
          <w:ilvl w:val="0"/>
          <w:numId w:val="1001"/>
        </w:numPr>
        <w:pStyle w:val="Compact"/>
      </w:pPr>
      <w:r>
        <w:t xml:space="preserve">an integrated architecture combining PanPhon articulatory features, a contrastive semantic drift objective, and a traceable derivation module;</w:t>
      </w:r>
    </w:p>
    <w:p>
      <w:pPr>
        <w:numPr>
          <w:ilvl w:val="0"/>
          <w:numId w:val="1001"/>
        </w:numPr>
        <w:pStyle w:val="Compact"/>
      </w:pPr>
      <w:r>
        <w:t xml:space="preserve">a curated benchmark of 12,500 aligned Sanskrit–Marathi cognate pairs with intermediate Prakrit and Apabhraṃśa targets; and</w:t>
      </w:r>
    </w:p>
    <w:p>
      <w:pPr>
        <w:numPr>
          <w:ilvl w:val="0"/>
          <w:numId w:val="1001"/>
        </w:numPr>
        <w:pStyle w:val="Compact"/>
      </w:pPr>
      <w:r>
        <w:t xml:space="preserve">an empirical evaluation with ablations showing consistent gains over symbolic and neural baselines, plus a planned open-source toolkit.</w:t>
      </w:r>
    </w:p>
    <w:p>
      <w:pPr>
        <w:pStyle w:val="FirstParagraph"/>
      </w:pPr>
      <w:r>
        <w:t xml:space="preserve">The remainder of this paper is organized as follows. Section II reviews related work, Section III presents the methodology, Section IV describes the system architecture, Section V details the implementation, Section VI reports results, Section VII discusses limitations, and Section VIII concludes.</w:t>
      </w:r>
    </w:p>
    <w:bookmarkEnd w:id="20"/>
    <w:bookmarkStart w:id="21" w:name="ii.-literature-review-and-related-work"/>
    <w:p>
      <w:pPr>
        <w:pStyle w:val="Heading1"/>
      </w:pPr>
      <w:r>
        <w:t xml:space="preserve">II. Literature Review and Related Work</w:t>
      </w:r>
    </w:p>
    <w:p>
      <w:pPr>
        <w:pStyle w:val="FirstParagraph"/>
      </w:pPr>
      <w:r>
        <w:rPr>
          <w:bCs/>
          <w:b/>
        </w:rPr>
        <w:t xml:space="preserve">A. Comparative philology.</w:t>
      </w:r>
      <w:r>
        <w:t xml:space="preserve"> </w:t>
      </w:r>
      <w:r>
        <w:t xml:space="preserve">The systematic study of Indo-Aryan diachronic phonology grew out of nineteenth- and twentieth-century comparative philology. Bloch’s</w:t>
      </w:r>
      <w:r>
        <w:t xml:space="preserve"> </w:t>
      </w:r>
      <w:r>
        <w:rPr>
          <w:iCs/>
          <w:i/>
        </w:rPr>
        <w:t xml:space="preserve">La formation de la langue marathe</w:t>
      </w:r>
      <w:r>
        <w:t xml:space="preserve"> </w:t>
      </w:r>
      <w:r>
        <w:t xml:space="preserve">established the phonetic correspondences that set Marathi apart from northern and eastern Indo-Aryan, including elision of intervocalic voiceless stops, reduction of sibilants, and retention of the retroflex lateral [2]. Turner’s</w:t>
      </w:r>
      <w:r>
        <w:t xml:space="preserve"> </w:t>
      </w:r>
      <w:r>
        <w:rPr>
          <w:iCs/>
          <w:i/>
        </w:rPr>
        <w:t xml:space="preserve">Comparative Dictionary of the Indo-Aryan Languages</w:t>
      </w:r>
      <w:r>
        <w:t xml:space="preserve"> </w:t>
      </w:r>
      <w:r>
        <w:t xml:space="preserve">(CDIAL) cataloged thousands of cognate sets tracing Sanskrit roots through Prakrit intermediaries to modern languages [3], and Masica synthesized pan-Indic shifts in syllable weight, vowel length, and case syncretism [4]. These works remain descriptive and paper-bound: they offer no algorithm that predicts unseen derivations, validates proposed etymologies, or plugs into language technology.</w:t>
      </w:r>
    </w:p>
    <w:p>
      <w:pPr>
        <w:pStyle w:val="BodyText"/>
      </w:pPr>
      <w:r>
        <w:rPr>
          <w:bCs/>
          <w:b/>
        </w:rPr>
        <w:t xml:space="preserve">B. Statistical and phylogenetic methods.</w:t>
      </w:r>
      <w:r>
        <w:t xml:space="preserve"> </w:t>
      </w:r>
      <w:r>
        <w:t xml:space="preserve">Early computational work relied on alignment algorithms, edit-distance variants [11], and Bayesian phylogenetic trees that estimate divergence dates and cognate clusters [12]. These methods typically operate on binary cognate presence/absence matrices and therefore bypass the phonetic mechanics of sound change.</w:t>
      </w:r>
    </w:p>
    <w:p>
      <w:pPr>
        <w:pStyle w:val="BodyText"/>
      </w:pPr>
      <w:r>
        <w:rPr>
          <w:bCs/>
          <w:b/>
        </w:rPr>
        <w:t xml:space="preserve">C. Neural proto-language reconstruction.</w:t>
      </w:r>
      <w:r>
        <w:t xml:space="preserve"> </w:t>
      </w:r>
      <w:r>
        <w:t xml:space="preserve">Meloni</w:t>
      </w:r>
      <w:r>
        <w:t xml:space="preserve"> </w:t>
      </w:r>
      <w:r>
        <w:rPr>
          <w:iCs/>
          <w:i/>
        </w:rPr>
        <w:t xml:space="preserve">et al.</w:t>
      </w:r>
      <w:r>
        <w:t xml:space="preserve"> </w:t>
      </w:r>
      <w:r>
        <w:t xml:space="preserve">applied recurrent encoder-decoders with attention [13] to reconstruct Proto-Romance forms from modern reflexes [14]. Kim</w:t>
      </w:r>
      <w:r>
        <w:t xml:space="preserve"> </w:t>
      </w:r>
      <w:r>
        <w:rPr>
          <w:iCs/>
          <w:i/>
        </w:rPr>
        <w:t xml:space="preserve">et al.</w:t>
      </w:r>
      <w:r>
        <w:t xml:space="preserve"> </w:t>
      </w:r>
      <w:r>
        <w:t xml:space="preserve">moved to Transformer architectures for multi-daughter reflex alignment [15], and Lu</w:t>
      </w:r>
      <w:r>
        <w:t xml:space="preserve"> </w:t>
      </w:r>
      <w:r>
        <w:rPr>
          <w:iCs/>
          <w:i/>
        </w:rPr>
        <w:t xml:space="preserve">et al.</w:t>
      </w:r>
      <w:r>
        <w:t xml:space="preserve"> </w:t>
      </w:r>
      <w:r>
        <w:t xml:space="preserve">introduced the Daughter-to-Proto-to-Daughter (DPD) framework, which uses cycle-consistent reflex prediction to improve reconstruction under limited supervision [9]. Unconstrained Transformers, however, need large corpora; on small historical datasets they hallucinate sequences that violate the Neogrammarian regularity hypothesis [5], and treating phonemes as atomic tokens discards the physical properties of articulation.</w:t>
      </w:r>
    </w:p>
    <w:p>
      <w:pPr>
        <w:pStyle w:val="BodyText"/>
      </w:pPr>
      <w:r>
        <w:rPr>
          <w:bCs/>
          <w:b/>
        </w:rPr>
        <w:t xml:space="preserve">D. Articulatory feature representations.</w:t>
      </w:r>
      <w:r>
        <w:t xml:space="preserve"> </w:t>
      </w:r>
      <w:r>
        <w:t xml:space="preserve">Mortensen</w:t>
      </w:r>
      <w:r>
        <w:t xml:space="preserve"> </w:t>
      </w:r>
      <w:r>
        <w:rPr>
          <w:iCs/>
          <w:i/>
        </w:rPr>
        <w:t xml:space="preserve">et al.</w:t>
      </w:r>
      <w:r>
        <w:t xml:space="preserve"> </w:t>
      </w:r>
      <w:r>
        <w:t xml:space="preserve">introduced PanPhon, which maps more than 5,000 IPA segments to 24 articulatory subsegmental features [16]. PanPhon has supported phonologically structured modeling in dialectology and speech technology, but it has not previously been embedded in Transformer models for Indo-Aryan diachronic reconstruction.</w:t>
      </w:r>
    </w:p>
    <w:p>
      <w:pPr>
        <w:pStyle w:val="BodyText"/>
      </w:pPr>
      <w:r>
        <w:rPr>
          <w:bCs/>
          <w:b/>
        </w:rPr>
        <w:t xml:space="preserve">E. Indic NLP.</w:t>
      </w:r>
      <w:r>
        <w:t xml:space="preserve"> </w:t>
      </w:r>
      <w:r>
        <w:t xml:space="preserve">The Indic NLP ecosystem has matured through AI4Bharat, which released the Aksharantar transliteration corpus of roughly 26 million pairs, translation models, and benchmarks [10]. These resources focus almost exclusively on synchronic tasks in modern scheduled languages. Sanskrit tools concentrate on sandhi splitting, compound analysis, and parsing, while Marathi tools target tagging, sentiment, and named entity recognition. No existing framework bridges these epochs by modeling the phonological transitions and semantic drift that link Sanskrit roots to Marathi derivatives.</w:t>
      </w:r>
    </w:p>
    <w:p>
      <w:pPr>
        <w:pStyle w:val="TableCaption"/>
        <w:keepNext/>
        <w:spacing w:before="120" w:after="60"/>
        <w:ind w:firstLine="0"/>
        <w:jc w:val="center"/>
      </w:pPr>
      <w:r>
        <w:rPr>
          <w:rFonts w:ascii="Times New Roman" w:hAnsi="Times New Roman"/>
          <w:i w:val="0"/>
          <w:smallCaps/>
          <w:sz w:val="16"/>
        </w:rPr>
        <w:t xml:space="preserve">TABLE I</w:t>
      </w:r>
      <w:r>
        <w:rPr>
          <w:rFonts w:ascii="Times New Roman" w:hAnsi="Times New Roman"/>
          <w:i w:val="0"/>
          <w:smallCaps/>
          <w:sz w:val="16"/>
        </w:rPr>
        <w:br/>
      </w:r>
      <w:r>
        <w:rPr>
          <w:rFonts w:ascii="Times New Roman" w:hAnsi="Times New Roman"/>
          <w:i w:val="0"/>
          <w:smallCaps/>
          <w:sz w:val="16"/>
        </w:rPr>
        <w:t xml:space="preserve">Comparison of Research Paradigms</w:t>
      </w:r>
    </w:p>
    <w:tbl>
      <w:tblPr>
        <w:tblW w:w="4873" w:type="dxa"/>
        <w:tblBorders>
          <w:top w:val="single" w:sz="8" w:space="0" w:color="000000"/>
          <w:bottom w:val="single" w:sz="8" w:space="0" w:color="000000"/>
          <w:insideH w:val="single" w:sz="2" w:space="0" w:color="999999"/>
        </w:tblBorders>
        <w:tblLayout w:type="fixed"/>
        <w:tblCellMar>
          <w:top w:w="20" w:type="dxa"/>
          <w:left w:w="50" w:type="dxa"/>
          <w:bottom w:w="20" w:type="dxa"/>
          <w:right w:w="50" w:type="dxa"/>
        </w:tblCellMar>
      </w:tblPr>
      <w:tblGrid>
        <w:gridCol w:w="1169"/>
        <w:gridCol w:w="1656"/>
        <w:gridCol w:w="2048"/>
      </w:tblGrid>
      <w:tr>
        <w:trPr>
          <w:tblHeader w:val="true"/>
        </w:trPr>
        <w:tc>
          <w:tcPr>
            <w:tcW w:w="1169" w:type="dxa"/>
            <w:tcBorders>
              <w:bottom w:val="single" w:sz="6" w:space="0" w:color="000000"/>
            </w:tcBorders>
          </w:tcPr>
          <w:p>
            <w:pPr>
              <w:pStyle w:val="Compact"/>
              <w:keepNext/>
              <w:spacing w:before="0" w:after="0"/>
              <w:ind w:firstLine="0"/>
            </w:pPr>
            <w:r>
              <w:rPr>
                <w:b/>
                <w:sz w:val="16"/>
              </w:rPr>
              <w:t xml:space="preserve">Paradigm</w:t>
            </w:r>
          </w:p>
        </w:tc>
        <w:tc>
          <w:tcPr>
            <w:tcW w:w="1656" w:type="dxa"/>
            <w:tcBorders>
              <w:bottom w:val="single" w:sz="6" w:space="0" w:color="000000"/>
            </w:tcBorders>
          </w:tcPr>
          <w:p>
            <w:pPr>
              <w:pStyle w:val="Compact"/>
              <w:keepNext/>
              <w:spacing w:before="0" w:after="0"/>
              <w:ind w:firstLine="0"/>
            </w:pPr>
            <w:r>
              <w:rPr>
                <w:b/>
                <w:sz w:val="16"/>
              </w:rPr>
              <w:t xml:space="preserve">Representative work</w:t>
            </w:r>
          </w:p>
        </w:tc>
        <w:tc>
          <w:tcPr>
            <w:tcW w:w="2048" w:type="dxa"/>
            <w:tcBorders>
              <w:bottom w:val="single" w:sz="6" w:space="0" w:color="000000"/>
            </w:tcBorders>
          </w:tcPr>
          <w:p>
            <w:pPr>
              <w:pStyle w:val="Compact"/>
              <w:keepNext/>
              <w:spacing w:before="0" w:after="0"/>
              <w:ind w:firstLine="0"/>
            </w:pPr>
            <w:r>
              <w:rPr>
                <w:b/>
                <w:sz w:val="16"/>
              </w:rPr>
              <w:t xml:space="preserve">Key limitation</w:t>
            </w:r>
          </w:p>
        </w:tc>
      </w:tr>
      <w:tr>
        <w:tc>
          <w:tcPr>
            <w:tcW w:w="1169" w:type="dxa"/>
          </w:tcPr>
          <w:p>
            <w:pPr>
              <w:pStyle w:val="Compact"/>
              <w:keepNext/>
              <w:spacing w:before="0" w:after="0"/>
              <w:ind w:firstLine="0"/>
            </w:pPr>
            <w:r>
              <w:rPr>
                <w:sz w:val="16"/>
              </w:rPr>
              <w:t xml:space="preserve">Comparative philology</w:t>
            </w:r>
          </w:p>
        </w:tc>
        <w:tc>
          <w:tcPr>
            <w:tcW w:w="1656" w:type="dxa"/>
          </w:tcPr>
          <w:p>
            <w:pPr>
              <w:pStyle w:val="Compact"/>
              <w:keepNext/>
              <w:spacing w:before="0" w:after="0"/>
              <w:ind w:firstLine="0"/>
            </w:pPr>
            <w:r>
              <w:rPr>
                <w:sz w:val="16"/>
              </w:rPr>
              <w:t xml:space="preserve">Bloch [2], Turner [3], Masica [4]</w:t>
            </w:r>
          </w:p>
        </w:tc>
        <w:tc>
          <w:tcPr>
            <w:tcW w:w="2048" w:type="dxa"/>
          </w:tcPr>
          <w:p>
            <w:pPr>
              <w:pStyle w:val="Compact"/>
              <w:keepNext/>
              <w:spacing w:before="0" w:after="0"/>
              <w:ind w:firstLine="0"/>
            </w:pPr>
            <w:r>
              <w:rPr>
                <w:sz w:val="16"/>
              </w:rPr>
              <w:t xml:space="preserve">Descriptive; not algorithmic or scalable</w:t>
            </w:r>
          </w:p>
        </w:tc>
      </w:tr>
      <w:tr>
        <w:tc>
          <w:tcPr>
            <w:tcW w:w="1169" w:type="dxa"/>
          </w:tcPr>
          <w:p>
            <w:pPr>
              <w:pStyle w:val="Compact"/>
              <w:keepNext/>
              <w:spacing w:before="0" w:after="0"/>
              <w:ind w:firstLine="0"/>
            </w:pPr>
            <w:r>
              <w:rPr>
                <w:sz w:val="16"/>
              </w:rPr>
              <w:t xml:space="preserve">Statistical / phylogenetic</w:t>
            </w:r>
          </w:p>
        </w:tc>
        <w:tc>
          <w:tcPr>
            <w:tcW w:w="1656" w:type="dxa"/>
          </w:tcPr>
          <w:p>
            <w:pPr>
              <w:pStyle w:val="Compact"/>
              <w:keepNext/>
              <w:spacing w:before="0" w:after="0"/>
              <w:ind w:firstLine="0"/>
            </w:pPr>
            <w:r>
              <w:rPr>
                <w:sz w:val="16"/>
              </w:rPr>
              <w:t xml:space="preserve">Levenshtein [11], Bouckaert</w:t>
            </w:r>
            <w:r>
              <w:rPr>
                <w:sz w:val="16"/>
              </w:rPr>
              <w:t xml:space="preserve"> </w:t>
            </w:r>
            <w:r>
              <w:rPr>
                <w:iCs/>
                <w:i/>
                <w:sz w:val="16"/>
              </w:rPr>
              <w:t xml:space="preserve">et al.</w:t>
            </w:r>
            <w:r>
              <w:rPr>
                <w:sz w:val="16"/>
              </w:rPr>
              <w:t xml:space="preserve"> </w:t>
            </w:r>
            <w:r>
              <w:rPr>
                <w:sz w:val="16"/>
              </w:rPr>
              <w:t xml:space="preserve">[12]</w:t>
            </w:r>
          </w:p>
        </w:tc>
        <w:tc>
          <w:tcPr>
            <w:tcW w:w="2048" w:type="dxa"/>
          </w:tcPr>
          <w:p>
            <w:pPr>
              <w:pStyle w:val="Compact"/>
              <w:keepNext/>
              <w:spacing w:before="0" w:after="0"/>
              <w:ind w:firstLine="0"/>
            </w:pPr>
            <w:r>
              <w:rPr>
                <w:sz w:val="16"/>
              </w:rPr>
              <w:t xml:space="preserve">Coarse cognate matrices; no phonological rules</w:t>
            </w:r>
          </w:p>
        </w:tc>
      </w:tr>
      <w:tr>
        <w:tc>
          <w:tcPr>
            <w:tcW w:w="1169" w:type="dxa"/>
          </w:tcPr>
          <w:p>
            <w:pPr>
              <w:pStyle w:val="Compact"/>
              <w:keepNext/>
              <w:spacing w:before="0" w:after="0"/>
              <w:ind w:firstLine="0"/>
            </w:pPr>
            <w:r>
              <w:rPr>
                <w:sz w:val="16"/>
              </w:rPr>
              <w:t xml:space="preserve">Neural sequence transduction</w:t>
            </w:r>
          </w:p>
        </w:tc>
        <w:tc>
          <w:tcPr>
            <w:tcW w:w="1656" w:type="dxa"/>
          </w:tcPr>
          <w:p>
            <w:pPr>
              <w:pStyle w:val="Compact"/>
              <w:keepNext/>
              <w:spacing w:before="0" w:after="0"/>
              <w:ind w:firstLine="0"/>
            </w:pPr>
            <w:r>
              <w:rPr>
                <w:sz w:val="16"/>
              </w:rPr>
              <w:t xml:space="preserve">Meloni [14], Kim [15], Lu [9]</w:t>
            </w:r>
          </w:p>
        </w:tc>
        <w:tc>
          <w:tcPr>
            <w:tcW w:w="2048" w:type="dxa"/>
          </w:tcPr>
          <w:p>
            <w:pPr>
              <w:pStyle w:val="Compact"/>
              <w:keepNext/>
              <w:spacing w:before="0" w:after="0"/>
              <w:ind w:firstLine="0"/>
            </w:pPr>
            <w:r>
              <w:rPr>
                <w:sz w:val="16"/>
              </w:rPr>
              <w:t xml:space="preserve">Black-box; hallucination on small corpora</w:t>
            </w:r>
          </w:p>
        </w:tc>
      </w:tr>
      <w:tr>
        <w:tc>
          <w:tcPr>
            <w:tcW w:w="1169" w:type="dxa"/>
          </w:tcPr>
          <w:p>
            <w:pPr>
              <w:pStyle w:val="Compact"/>
              <w:keepNext/>
              <w:spacing w:before="0" w:after="0"/>
              <w:ind w:firstLine="0"/>
            </w:pPr>
            <w:r>
              <w:rPr>
                <w:sz w:val="16"/>
              </w:rPr>
              <w:t xml:space="preserve">Indic NLP toolkits</w:t>
            </w:r>
          </w:p>
        </w:tc>
        <w:tc>
          <w:tcPr>
            <w:tcW w:w="1656" w:type="dxa"/>
          </w:tcPr>
          <w:p>
            <w:pPr>
              <w:pStyle w:val="Compact"/>
              <w:keepNext/>
              <w:spacing w:before="0" w:after="0"/>
              <w:ind w:firstLine="0"/>
            </w:pPr>
            <w:r>
              <w:rPr>
                <w:sz w:val="16"/>
              </w:rPr>
              <w:t xml:space="preserve">AI4Bharat, Aksharantar [10]</w:t>
            </w:r>
          </w:p>
        </w:tc>
        <w:tc>
          <w:tcPr>
            <w:tcW w:w="2048" w:type="dxa"/>
          </w:tcPr>
          <w:p>
            <w:pPr>
              <w:pStyle w:val="Compact"/>
              <w:keepNext/>
              <w:spacing w:before="0" w:after="0"/>
              <w:ind w:firstLine="0"/>
            </w:pPr>
            <w:r>
              <w:rPr>
                <w:sz w:val="16"/>
              </w:rPr>
              <w:t xml:space="preserve">Synchronic only; no diachronic modeling</w:t>
            </w:r>
          </w:p>
        </w:tc>
      </w:tr>
      <w:tr>
        <w:tc>
          <w:tcPr>
            <w:tcW w:w="1169" w:type="dxa"/>
          </w:tcPr>
          <w:p>
            <w:pPr>
              <w:pStyle w:val="Compact"/>
              <w:spacing w:before="0" w:after="0"/>
              <w:ind w:firstLine="0"/>
            </w:pPr>
            <w:r>
              <w:rPr>
                <w:bCs/>
                <w:b/>
                <w:sz w:val="16"/>
              </w:rPr>
              <w:t xml:space="preserve">Proposed framework</w:t>
            </w:r>
          </w:p>
        </w:tc>
        <w:tc>
          <w:tcPr>
            <w:tcW w:w="1656" w:type="dxa"/>
          </w:tcPr>
          <w:p>
            <w:pPr>
              <w:pStyle w:val="Compact"/>
              <w:spacing w:before="0" w:after="0"/>
              <w:ind w:firstLine="0"/>
            </w:pPr>
            <w:r>
              <w:rPr>
                <w:sz w:val="16"/>
              </w:rPr>
              <w:t xml:space="preserve">This work</w:t>
            </w:r>
          </w:p>
        </w:tc>
        <w:tc>
          <w:tcPr>
            <w:tcW w:w="2048" w:type="dxa"/>
          </w:tcPr>
          <w:p>
            <w:pPr>
              <w:pStyle w:val="Compact"/>
              <w:spacing w:before="0" w:after="0"/>
              <w:ind w:firstLine="0"/>
            </w:pPr>
            <w:r>
              <w:rPr>
                <w:sz w:val="16"/>
              </w:rPr>
              <w:t xml:space="preserve">Needs curated intermediate alignments; added decoding overhead</w:t>
            </w:r>
          </w:p>
        </w:tc>
      </w:tr>
    </w:tbl>
    <w:p>
      <w:pPr>
        <w:pStyle w:val="BodyText"/>
      </w:pPr>
      <w:r>
        <w:t xml:space="preserve">In summary, an explainable hybrid that unites historical phonological rule formalisms with neural sequence modeling remains a clear research need, which the present work addresses.</w:t>
      </w:r>
    </w:p>
    <w:bookmarkEnd w:id="21"/>
    <w:bookmarkStart w:id="22" w:name="iii.-proposed-methodology"/>
    <w:p>
      <w:pPr>
        <w:pStyle w:val="Heading1"/>
      </w:pPr>
      <w:r>
        <w:t xml:space="preserve">III. Proposed Methodology</w:t>
      </w:r>
    </w:p>
    <w:p>
      <w:pPr>
        <w:pStyle w:val="FirstParagraph"/>
      </w:pPr>
      <w:r>
        <w:rPr>
          <w:bCs/>
          <w:b/>
        </w:rPr>
        <w:t xml:space="preserve">A. Problem formulation.</w:t>
      </w:r>
      <w:r>
        <w:t xml:space="preserve"> </w:t>
      </w:r>
      <w:r>
        <w:t xml:space="preserve">The task is cast as rule-constrained, phonetically grounded sequence transduction. Let a Sanskrit etymon be an ordered phoneme sequence</w:t>
      </w:r>
      <w:r>
        <w:t xml:space="preserve"> </w:t>
      </w:r>
      <m:oMath>
        <m: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with each</w:t>
      </w:r>
      <w:r>
        <w:t xml:space="preserve"> </w:t>
      </w:r>
      <m:oMath>
        <m:sSub>
          <m:e>
            <m:r>
              <m:t>x</m:t>
            </m:r>
          </m:e>
          <m:sub>
            <m:r>
              <m:t>n</m:t>
            </m:r>
          </m:sub>
        </m:sSub>
        <m:r>
          <m:rPr>
            <m:sty m:val="p"/>
          </m:rPr>
          <m:t>∈</m:t>
        </m:r>
        <m:sSub>
          <m:e>
            <m:r>
              <m:t>Σ</m:t>
            </m:r>
          </m:e>
          <m:sub>
            <m:r>
              <m:rPr>
                <m:nor/>
                <m:sty m:val="p"/>
              </m:rPr>
              <m:t>OIA</m:t>
            </m:r>
          </m:sub>
        </m:sSub>
      </m:oMath>
      <w:r>
        <w:t xml:space="preserve">, the OIA phonemic inventory. The goal is to derive the Modern Marathi reflex</w:t>
      </w:r>
      <w:r>
        <w:t xml:space="preserve"> </w:t>
      </w:r>
      <m:oMath>
        <m:r>
          <m:t>Y</m:t>
        </m:r>
        <m:r>
          <m:rPr>
            <m:sty m:val="p"/>
          </m:rPr>
          <m:t>=</m:t>
        </m:r>
        <m:d>
          <m:dPr>
            <m:begChr m:val="("/>
            <m:endChr m:val=")"/>
            <m:sep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M</m:t>
                </m:r>
              </m:sub>
            </m:sSub>
          </m:e>
        </m:d>
      </m:oMath>
      <w:r>
        <w:t xml:space="preserve"> </w:t>
      </w:r>
      <w:r>
        <w:t xml:space="preserve">with</w:t>
      </w:r>
      <w:r>
        <w:t xml:space="preserve"> </w:t>
      </w:r>
      <m:oMath>
        <m:sSub>
          <m:e>
            <m:r>
              <m:t>y</m:t>
            </m:r>
          </m:e>
          <m:sub>
            <m:r>
              <m:t>m</m:t>
            </m:r>
          </m:sub>
        </m:sSub>
        <m:r>
          <m:rPr>
            <m:sty m:val="p"/>
          </m:rPr>
          <m:t>∈</m:t>
        </m:r>
        <m:sSub>
          <m:e>
            <m:r>
              <m:t>Σ</m:t>
            </m:r>
          </m:e>
          <m:sub>
            <m:r>
              <m:rPr>
                <m:nor/>
                <m:sty m:val="p"/>
              </m:rPr>
              <m:t>NIA</m:t>
            </m:r>
          </m:sub>
        </m:sSub>
      </m:oMath>
      <w:r>
        <w:t xml:space="preserve">, together with an explicit derivation trace</w:t>
      </w:r>
      <w:r>
        <w:t xml:space="preserve"> </w:t>
      </w:r>
      <m:oMath>
        <m:r>
          <m:rPr>
            <m:sty m:val="p"/>
            <m:scr m:val="script"/>
          </m:rPr>
          <m:t>T</m:t>
        </m:r>
        <m:r>
          <m:rPr>
            <m:sty m:val="p"/>
          </m:rPr>
          <m:t>=</m:t>
        </m:r>
        <m:r>
          <m:rPr>
            <m:sty m:val="p"/>
          </m:rPr>
          <m:t>⟨</m:t>
        </m:r>
        <m:sSup>
          <m:e>
            <m:r>
              <m:t>Z</m:t>
            </m:r>
          </m:e>
          <m:sup>
            <m:d>
              <m:dPr>
                <m:begChr m:val="("/>
                <m:endChr m:val=")"/>
                <m:sepChr m:val=""/>
                <m:grow/>
              </m:dPr>
              <m:e>
                <m:r>
                  <m:t>1</m:t>
                </m:r>
              </m:e>
            </m:d>
          </m:sup>
        </m:sSup>
        <m:r>
          <m:rPr>
            <m:sty m:val="p"/>
          </m:rPr>
          <m:t>,</m:t>
        </m:r>
        <m:sSup>
          <m:e>
            <m:r>
              <m:t>Z</m:t>
            </m:r>
          </m:e>
          <m:sup>
            <m:d>
              <m:dPr>
                <m:begChr m:val="("/>
                <m:endChr m:val=")"/>
                <m:sepChr m:val=""/>
                <m:grow/>
              </m:dPr>
              <m:e>
                <m:r>
                  <m:t>2</m:t>
                </m:r>
              </m:e>
            </m:d>
          </m:sup>
        </m:sSup>
        <m:r>
          <m:rPr>
            <m:sty m:val="p"/>
          </m:rPr>
          <m:t>,</m:t>
        </m:r>
        <m:r>
          <m:rPr>
            <m:sty m:val="p"/>
          </m:rPr>
          <m:t>…</m:t>
        </m:r>
        <m:r>
          <m:rPr>
            <m:sty m:val="p"/>
          </m:rPr>
          <m:t>,</m:t>
        </m:r>
        <m:sSup>
          <m:e>
            <m:r>
              <m:t>Z</m:t>
            </m:r>
          </m:e>
          <m:sup>
            <m:d>
              <m:dPr>
                <m:begChr m:val="("/>
                <m:endChr m:val=")"/>
                <m:sepChr m:val=""/>
                <m:grow/>
              </m:dPr>
              <m:e>
                <m:r>
                  <m:t>K</m:t>
                </m:r>
              </m:e>
            </m:d>
          </m:sup>
        </m:sSup>
        <m:r>
          <m:rPr>
            <m:sty m:val="p"/>
          </m:rPr>
          <m:t>⟩</m:t>
        </m:r>
      </m:oMath>
      <w:r>
        <w:t xml:space="preserve"> </w:t>
      </w:r>
      <w:r>
        <w:t xml:space="preserve">through attested MIA stages, specifically Maharashtri Prakrit</w:t>
      </w:r>
      <w:r>
        <w:t xml:space="preserve"> </w:t>
      </w:r>
      <m:oMath>
        <m:sSup>
          <m:e>
            <m:r>
              <m:t>Z</m:t>
            </m:r>
          </m:e>
          <m:sup>
            <m:d>
              <m:dPr>
                <m:begChr m:val="("/>
                <m:endChr m:val=")"/>
                <m:sepChr m:val=""/>
                <m:grow/>
              </m:dPr>
              <m:e>
                <m:r>
                  <m:t>1</m:t>
                </m:r>
              </m:e>
            </m:d>
          </m:sup>
        </m:sSup>
        <m:r>
          <m:rPr>
            <m:sty m:val="p"/>
          </m:rPr>
          <m:t>∈</m:t>
        </m:r>
        <m:sSubSup>
          <m:e>
            <m:r>
              <m:t>Σ</m:t>
            </m:r>
          </m:e>
          <m:sub>
            <m:r>
              <m:rPr>
                <m:nor/>
                <m:sty m:val="p"/>
              </m:rPr>
              <m:t>MIA</m:t>
            </m:r>
          </m:sub>
          <m:sup>
            <m:r>
              <m:rPr>
                <m:sty m:val="p"/>
              </m:rPr>
              <m:t>*</m:t>
            </m:r>
          </m:sup>
        </m:sSubSup>
      </m:oMath>
      <w:r>
        <w:t xml:space="preserve"> </w:t>
      </w:r>
      <w:r>
        <w:t xml:space="preserve">and Apabhraṃśa</w:t>
      </w:r>
      <w:r>
        <w:t xml:space="preserve"> </w:t>
      </w:r>
      <m:oMath>
        <m:sSup>
          <m:e>
            <m:r>
              <m:t>Z</m:t>
            </m:r>
          </m:e>
          <m:sup>
            <m:d>
              <m:dPr>
                <m:begChr m:val="("/>
                <m:endChr m:val=")"/>
                <m:sepChr m:val=""/>
                <m:grow/>
              </m:dPr>
              <m:e>
                <m:r>
                  <m:t>2</m:t>
                </m:r>
              </m:e>
            </m:d>
          </m:sup>
        </m:sSup>
        <m:r>
          <m:rPr>
            <m:sty m:val="p"/>
          </m:rPr>
          <m:t>∈</m:t>
        </m:r>
        <m:sSubSup>
          <m:e>
            <m:r>
              <m:t>Σ</m:t>
            </m:r>
          </m:e>
          <m:sub>
            <m:r>
              <m:rPr>
                <m:nor/>
                <m:sty m:val="p"/>
              </m:rPr>
              <m:t>APAB</m:t>
            </m:r>
          </m:sub>
          <m:sup>
            <m:r>
              <m:rPr>
                <m:sty m:val="p"/>
              </m:rPr>
              <m:t>*</m:t>
            </m:r>
          </m:sup>
        </m:sSubSup>
      </m:oMath>
      <w:r>
        <w:t xml:space="preserve">.</w:t>
      </w:r>
    </w:p>
    <w:p>
      <w:pPr>
        <w:pStyle w:val="BodyText"/>
      </w:pPr>
      <w:r>
        <w:rPr>
          <w:bCs/>
          <w:b/>
        </w:rPr>
        <w:t xml:space="preserve">B. Articulatory input embedding.</w:t>
      </w:r>
      <w:r>
        <w:t xml:space="preserve"> </w:t>
      </w:r>
      <w:r>
        <w:t xml:space="preserve">To operate on physical phonetic properties rather than arbitrary tokens, each phoneme is projected into a composite continuous space that concatenates a learned token embedding with a 24-dimensional PanPhon feature vector [16]:</w:t>
      </w:r>
    </w:p>
    <w:p>
      <w:pPr>
        <w:keepLines/>
        <w:tabs>
          <w:tab w:val="center" w:pos="2186"/>
          <w:tab w:val="right" w:pos="4873"/>
        </w:tabs>
        <w:spacing w:before="80" w:after="80"/>
        <w:ind w:firstLine="0"/>
        <w:jc w:val="left"/>
      </w:pPr>
      <w:r>
        <w:rPr>
          <w:rFonts w:ascii="Times New Roman" w:hAnsi="Times New Roman"/>
          <w:sz w:val="20"/>
        </w:rPr>
        <w:tab/>
      </w:r>
      <m:oMath>
        <m:r>
          <m:t>e</m:t>
        </m:r>
        <m:d>
          <m:dPr>
            <m:begChr m:val="("/>
            <m:endChr m:val=")"/>
            <m:sepChr m:val=""/>
            <m:grow/>
          </m:dPr>
          <m:e>
            <m:sSub>
              <m:e>
                <m:r>
                  <m:t>x</m:t>
                </m:r>
              </m:e>
              <m:sub>
                <m:r>
                  <m:t>n</m:t>
                </m:r>
              </m:sub>
            </m:sSub>
          </m:e>
        </m:d>
        <m:r>
          <m:rPr>
            <m:sty m:val="p"/>
          </m:rPr>
          <m:t>=</m:t>
        </m:r>
        <m:sSub>
          <m:e>
            <m:r>
              <m:t>W</m:t>
            </m:r>
          </m:e>
          <m:sub>
            <m:r>
              <m:rPr>
                <m:nor/>
                <m:sty m:val="p"/>
              </m:rPr>
              <m:t>proj</m:t>
            </m:r>
          </m:sub>
        </m:sSub>
        <m:r>
          <m:t> </m:t>
        </m:r>
        <m:d>
          <m:dPr>
            <m:begChr m:val="["/>
            <m:endChr m:val="]"/>
            <m:sepChr m:val=""/>
            <m:grow/>
          </m:dPr>
          <m:e>
            <m:r>
              <m:t> </m:t>
            </m:r>
            <m:sSub>
              <m:e>
                <m:r>
                  <m:t>e</m:t>
                </m:r>
              </m:e>
              <m:sub>
                <m:r>
                  <m:rPr>
                    <m:nor/>
                    <m:sty m:val="p"/>
                  </m:rPr>
                  <m:t>token</m:t>
                </m:r>
              </m:sub>
            </m:sSub>
            <m:d>
              <m:dPr>
                <m:begChr m:val="("/>
                <m:endChr m:val=")"/>
                <m:sepChr m:val=""/>
                <m:grow/>
              </m:dPr>
              <m:e>
                <m:sSub>
                  <m:e>
                    <m:r>
                      <m:t>x</m:t>
                    </m:r>
                  </m:e>
                  <m:sub>
                    <m:r>
                      <m:t>n</m:t>
                    </m:r>
                  </m:sub>
                </m:sSub>
              </m:e>
            </m:d>
            <m:r>
              <m:t> </m:t>
            </m:r>
            <m:r>
              <m:rPr>
                <m:sty m:val="p"/>
              </m:rPr>
              <m:t>∥</m:t>
            </m:r>
            <m:r>
              <m:t> </m:t>
            </m:r>
            <m:sSub>
              <m:e>
                <m:r>
                  <m:rPr>
                    <m:sty m:val="b"/>
                  </m:rPr>
                  <m:t>f</m:t>
                </m:r>
              </m:e>
              <m:sub>
                <m:r>
                  <m:rPr>
                    <m:nor/>
                    <m:sty m:val="p"/>
                  </m:rPr>
                  <m:t>art</m:t>
                </m:r>
              </m:sub>
            </m:sSub>
            <m:d>
              <m:dPr>
                <m:begChr m:val="("/>
                <m:endChr m:val=")"/>
                <m:sepChr m:val=""/>
                <m:grow/>
              </m:dPr>
              <m:e>
                <m:sSub>
                  <m:e>
                    <m:r>
                      <m:t>x</m:t>
                    </m:r>
                  </m:e>
                  <m:sub>
                    <m:r>
                      <m:t>n</m:t>
                    </m:r>
                  </m:sub>
                </m:sSub>
              </m:e>
            </m:d>
            <m:r>
              <m:t> </m:t>
            </m:r>
          </m:e>
        </m:d>
        <m:r>
          <m:rPr>
            <m:sty m:val="p"/>
          </m:rPr>
          <m:t>+</m:t>
        </m:r>
        <m:sSub>
          <m:e>
            <m:r>
              <m:rPr>
                <m:sty m:val="b"/>
              </m:rPr>
              <m:t>p</m:t>
            </m:r>
          </m:e>
          <m:sub>
            <m:r>
              <m:t>n</m:t>
            </m:r>
          </m:sub>
        </m:sSub>
      </m:oMath>
      <w:r>
        <w:rPr>
          <w:rFonts w:ascii="Times New Roman" w:hAnsi="Times New Roman"/>
          <w:sz w:val="20"/>
        </w:rPr>
        <w:tab/>
      </w:r>
      <w:r>
        <w:rPr>
          <w:rFonts w:ascii="Times New Roman" w:hAnsi="Times New Roman"/>
          <w:sz w:val="20"/>
        </w:rPr>
        <w:t>(1)</w:t>
      </w:r>
    </w:p>
    <w:p>
      <w:pPr>
        <w:pStyle w:val="FirstParagraph"/>
      </w:pPr>
      <w:r>
        <w:t xml:space="preserve">Here</w:t>
      </w:r>
      <w:r>
        <w:t xml:space="preserve"> </w:t>
      </w:r>
      <m:oMath>
        <m:sSub>
          <m:e>
            <m:r>
              <m:t>e</m:t>
            </m:r>
          </m:e>
          <m:sub>
            <m:r>
              <m:rPr>
                <m:nor/>
                <m:sty m:val="p"/>
              </m:rPr>
              <m:t>token</m:t>
            </m:r>
          </m:sub>
        </m:sSub>
        <m:d>
          <m:dPr>
            <m:begChr m:val="("/>
            <m:endChr m:val=")"/>
            <m:sepChr m:val=""/>
            <m:grow/>
          </m:dPr>
          <m:e>
            <m:sSub>
              <m:e>
                <m:r>
                  <m:t>x</m:t>
                </m:r>
              </m:e>
              <m:sub>
                <m:r>
                  <m:t>n</m:t>
                </m:r>
              </m:sub>
            </m:sSub>
          </m:e>
        </m:d>
        <m:r>
          <m:rPr>
            <m:sty m:val="p"/>
          </m:rPr>
          <m:t>∈</m:t>
        </m:r>
        <m:sSup>
          <m:e>
            <m:r>
              <m:rPr>
                <m:sty m:val="p"/>
                <m:scr m:val="double-struck"/>
              </m:rPr>
              <m:t>R</m:t>
            </m:r>
          </m:e>
          <m:sup>
            <m:sSub>
              <m:e>
                <m:r>
                  <m:t>d</m:t>
                </m:r>
              </m:e>
              <m:sub>
                <m:r>
                  <m:t>t</m:t>
                </m:r>
              </m:sub>
            </m:sSub>
          </m:sup>
        </m:sSup>
      </m:oMath>
      <w:r>
        <w:t xml:space="preserve"> </w:t>
      </w:r>
      <w:r>
        <w:t xml:space="preserve">is the categorical embedding;</w:t>
      </w:r>
      <w:r>
        <w:t xml:space="preserve"> </w:t>
      </w:r>
      <m:oMath>
        <m:sSub>
          <m:e>
            <m:r>
              <m:rPr>
                <m:sty m:val="b"/>
              </m:rPr>
              <m:t>f</m:t>
            </m:r>
          </m:e>
          <m:sub>
            <m:r>
              <m:rPr>
                <m:nor/>
                <m:sty m:val="p"/>
              </m:rPr>
              <m:t>art</m:t>
            </m:r>
          </m:sub>
        </m:sSub>
        <m:d>
          <m:dPr>
            <m:begChr m:val="("/>
            <m:endChr m:val=")"/>
            <m:sepChr m:val=""/>
            <m:grow/>
          </m:dPr>
          <m:e>
            <m:sSub>
              <m:e>
                <m:r>
                  <m:t>x</m:t>
                </m:r>
              </m:e>
              <m:sub>
                <m:r>
                  <m:t>n</m:t>
                </m:r>
              </m:sub>
            </m:sSub>
          </m:e>
        </m:d>
        <m:r>
          <m:rPr>
            <m:sty m:val="p"/>
          </m:rPr>
          <m:t>∈</m:t>
        </m:r>
        <m:r>
          <m:rPr>
            <m:sty m:val="p"/>
          </m:rPr>
          <m:t>{</m:t>
        </m:r>
        <m:r>
          <m:rPr>
            <m:sty m:val="p"/>
          </m:rPr>
          <m:t>−</m:t>
        </m:r>
        <m:r>
          <m:t>1</m:t>
        </m:r>
        <m:r>
          <m:rPr>
            <m:sty m:val="p"/>
          </m:rPr>
          <m:t>,</m:t>
        </m:r>
        <m:r>
          <m:t>0</m:t>
        </m:r>
        <m:r>
          <m:rPr>
            <m:sty m:val="p"/>
          </m:rPr>
          <m:t>,</m:t>
        </m:r>
        <m:r>
          <m:t>1</m:t>
        </m:r>
        <m:sSup>
          <m:e>
            <m:r>
              <m:rPr>
                <m:sty m:val="p"/>
              </m:rPr>
              <m:t>}</m:t>
            </m:r>
          </m:e>
          <m:sup>
            <m:sSub>
              <m:e>
                <m:r>
                  <m:t>d</m:t>
                </m:r>
              </m:e>
              <m:sub>
                <m:r>
                  <m:t>a</m:t>
                </m:r>
              </m:sub>
            </m:sSub>
          </m:sup>
        </m:sSup>
      </m:oMath>
      <w:r>
        <w:t xml:space="preserve"> </w:t>
      </w:r>
      <w:r>
        <w:t xml:space="preserve">encodes distinctive attributes such as</w:t>
      </w:r>
      <w:r>
        <w:t xml:space="preserve"> </w:t>
      </w:r>
      <m:oMath>
        <m:r>
          <m:rPr>
            <m:sty m:val="p"/>
          </m:rPr>
          <m:t>±</m:t>
        </m:r>
      </m:oMath>
      <w:r>
        <w:t xml:space="preserve">consonantal,</w:t>
      </w:r>
      <w:r>
        <w:t xml:space="preserve"> </w:t>
      </w:r>
      <m:oMath>
        <m:r>
          <m:rPr>
            <m:sty m:val="p"/>
          </m:rPr>
          <m:t>±</m:t>
        </m:r>
      </m:oMath>
      <w:r>
        <w:t xml:space="preserve">sonorant,</w:t>
      </w:r>
      <w:r>
        <w:t xml:space="preserve"> </w:t>
      </w:r>
      <m:oMath>
        <m:r>
          <m:rPr>
            <m:sty m:val="p"/>
          </m:rPr>
          <m:t>±</m:t>
        </m:r>
      </m:oMath>
      <w:r>
        <w:t xml:space="preserve">voiced,</w:t>
      </w:r>
      <w:r>
        <w:t xml:space="preserve"> </w:t>
      </w:r>
      <m:oMath>
        <m:r>
          <m:rPr>
            <m:sty m:val="p"/>
          </m:rPr>
          <m:t>±</m:t>
        </m:r>
      </m:oMath>
      <w:r>
        <w:t xml:space="preserve">continuant,</w:t>
      </w:r>
      <w:r>
        <w:t xml:space="preserve"> </w:t>
      </w:r>
      <m:oMath>
        <m:r>
          <m:rPr>
            <m:sty m:val="p"/>
          </m:rPr>
          <m:t>±</m:t>
        </m:r>
      </m:oMath>
      <w:r>
        <w:t xml:space="preserve">nasal,</w:t>
      </w:r>
      <w:r>
        <w:t xml:space="preserve"> </w:t>
      </w:r>
      <m:oMath>
        <m:r>
          <m:rPr>
            <m:sty m:val="p"/>
          </m:rPr>
          <m:t>±</m:t>
        </m:r>
      </m:oMath>
      <w:r>
        <w:t xml:space="preserve">retroflex, and</w:t>
      </w:r>
      <w:r>
        <w:t xml:space="preserve"> </w:t>
      </w:r>
      <m:oMath>
        <m:r>
          <m:rPr>
            <m:sty m:val="p"/>
          </m:rPr>
          <m:t>±</m:t>
        </m:r>
      </m:oMath>
      <w:r>
        <w:t xml:space="preserve">aspirated;</w:t>
      </w:r>
      <w:r>
        <w:t xml:space="preserve"> </w:t>
      </w:r>
      <m:oMath>
        <m:sSub>
          <m:e>
            <m:r>
              <m:t>W</m:t>
            </m:r>
          </m:e>
          <m:sub>
            <m:r>
              <m:rPr>
                <m:nor/>
                <m:sty m:val="p"/>
              </m:rPr>
              <m:t>proj</m:t>
            </m:r>
          </m:sub>
        </m:sSub>
        <m:r>
          <m:rPr>
            <m:sty m:val="p"/>
          </m:rPr>
          <m:t>∈</m:t>
        </m:r>
        <m:sSup>
          <m:e>
            <m:r>
              <m:rPr>
                <m:sty m:val="p"/>
                <m:scr m:val="double-struck"/>
              </m:rPr>
              <m:t>R</m:t>
            </m:r>
          </m:e>
          <m:sup>
            <m:sSub>
              <m:e>
                <m:r>
                  <m:t>d</m:t>
                </m:r>
              </m:e>
              <m:sub>
                <m:r>
                  <m:rPr>
                    <m:nor/>
                    <m:sty m:val="p"/>
                  </m:rPr>
                  <m:t>model</m:t>
                </m:r>
              </m:sub>
            </m:sSub>
            <m:r>
              <m:rPr>
                <m:sty m:val="p"/>
              </m:rPr>
              <m:t>×</m:t>
            </m:r>
            <m:d>
              <m:dPr>
                <m:begChr m:val="("/>
                <m:endChr m:val=")"/>
                <m:sepChr m:val=""/>
                <m:grow/>
              </m:dPr>
              <m:e>
                <m:sSub>
                  <m:e>
                    <m:r>
                      <m:t>d</m:t>
                    </m:r>
                  </m:e>
                  <m:sub>
                    <m:r>
                      <m:t>t</m:t>
                    </m:r>
                  </m:sub>
                </m:sSub>
                <m:r>
                  <m:rPr>
                    <m:sty m:val="p"/>
                  </m:rPr>
                  <m:t>+</m:t>
                </m:r>
                <m:sSub>
                  <m:e>
                    <m:r>
                      <m:t>d</m:t>
                    </m:r>
                  </m:e>
                  <m:sub>
                    <m:r>
                      <m:t>a</m:t>
                    </m:r>
                  </m:sub>
                </m:sSub>
              </m:e>
            </m:d>
          </m:sup>
        </m:sSup>
      </m:oMath>
      <w:r>
        <w:t xml:space="preserve"> </w:t>
      </w:r>
      <w:r>
        <w:t xml:space="preserve">projects to the model dimension; and</w:t>
      </w:r>
      <w:r>
        <w:t xml:space="preserve"> </w:t>
      </w:r>
      <m:oMath>
        <m:sSub>
          <m:e>
            <m:r>
              <m:rPr>
                <m:sty m:val="b"/>
              </m:rPr>
              <m:t>p</m:t>
            </m:r>
          </m:e>
          <m:sub>
            <m:r>
              <m:t>n</m:t>
            </m:r>
          </m:sub>
        </m:sSub>
        <m:r>
          <m:rPr>
            <m:sty m:val="p"/>
          </m:rPr>
          <m:t>∈</m:t>
        </m:r>
        <m:sSup>
          <m:e>
            <m:r>
              <m:rPr>
                <m:sty m:val="p"/>
                <m:scr m:val="double-struck"/>
              </m:rPr>
              <m:t>R</m:t>
            </m:r>
          </m:e>
          <m:sup>
            <m:sSub>
              <m:e>
                <m:r>
                  <m:t>d</m:t>
                </m:r>
              </m:e>
              <m:sub>
                <m:r>
                  <m:rPr>
                    <m:nor/>
                    <m:sty m:val="p"/>
                  </m:rPr>
                  <m:t>model</m:t>
                </m:r>
              </m:sub>
            </m:sSub>
          </m:sup>
        </m:sSup>
      </m:oMath>
      <w:r>
        <w:t xml:space="preserve"> </w:t>
      </w:r>
      <w:r>
        <w:t xml:space="preserve">is a sinusoidal positional encoding.</w:t>
      </w:r>
    </w:p>
    <w:p>
      <w:pPr>
        <w:pStyle w:val="BodyText"/>
      </w:pPr>
      <w:r>
        <w:rPr>
          <w:bCs/>
          <w:b/>
        </w:rPr>
        <w:t xml:space="preserve">C. Historical phonological rule engine.</w:t>
      </w:r>
      <w:r>
        <w:t xml:space="preserve"> </w:t>
      </w:r>
      <w:r>
        <w:t xml:space="preserve">The symbolic core is a deterministic engine that formalizes attested sound laws as context-sensitive rewrite rules over articulatory matrices [17]:</w:t>
      </w:r>
    </w:p>
    <w:p>
      <w:pPr>
        <w:keepLines/>
        <w:tabs>
          <w:tab w:val="center" w:pos="2186"/>
          <w:tab w:val="right" w:pos="4873"/>
        </w:tabs>
        <w:spacing w:before="80" w:after="80"/>
        <w:ind w:firstLine="0"/>
        <w:jc w:val="left"/>
      </w:pPr>
      <w:r>
        <w:rPr>
          <w:rFonts w:ascii="Times New Roman" w:hAnsi="Times New Roman"/>
          <w:sz w:val="20"/>
        </w:rPr>
        <w:tab/>
      </w:r>
      <m:oMath>
        <m:sSub>
          <m:e>
            <m:r>
              <m:t>ρ</m:t>
            </m:r>
          </m:e>
          <m:sub>
            <m:r>
              <m:t>k</m:t>
            </m:r>
          </m:sub>
        </m:sSub>
        <m:r>
          <m:rPr>
            <m:sty m:val="p"/>
          </m:rPr>
          <m:t>:</m:t>
        </m:r>
        <m:r>
          <m:t> </m:t>
        </m:r>
        <m:r>
          <m:t>A</m:t>
        </m:r>
        <m:r>
          <m:rPr>
            <m:sty m:val="p"/>
          </m:rPr>
          <m:t>→</m:t>
        </m:r>
        <m:r>
          <m:t>B</m:t>
        </m:r>
        <m:r>
          <m:t> </m:t>
        </m:r>
        <m:r>
          <m:rPr>
            <m:sty m:val="p"/>
          </m:rPr>
          <m:t>/</m:t>
        </m:r>
        <m:r>
          <m:t> </m:t>
        </m:r>
        <m:r>
          <m:t>C</m:t>
        </m:r>
        <m:r>
          <m:t> </m:t>
        </m:r>
        <m:bar>
          <m:barPr>
            <m:pos m:val="bot"/>
          </m:barPr>
          <m:e>
            <m:r>
              <m:t> </m:t>
            </m:r>
          </m:e>
        </m:bar>
        <m:r>
          <m:t> </m:t>
        </m:r>
        <m:r>
          <m:t>D</m:t>
        </m:r>
      </m:oMath>
      <w:r>
        <w:rPr>
          <w:rFonts w:ascii="Times New Roman" w:hAnsi="Times New Roman"/>
          <w:sz w:val="20"/>
        </w:rPr>
        <w:tab/>
      </w:r>
      <w:r>
        <w:rPr>
          <w:rFonts w:ascii="Times New Roman" w:hAnsi="Times New Roman"/>
          <w:sz w:val="20"/>
        </w:rPr>
        <w:t>(2)</w:t>
      </w:r>
    </w:p>
    <w:p>
      <w:pPr>
        <w:pStyle w:val="FirstParagraph"/>
      </w:pPr>
      <w:r>
        <w:t xml:space="preserve">where feature bundle</w:t>
      </w:r>
      <w:r>
        <w:t xml:space="preserve"> </w:t>
      </w:r>
      <m:oMath>
        <m:r>
          <m:t>A</m:t>
        </m:r>
      </m:oMath>
      <w:r>
        <w:t xml:space="preserve"> </w:t>
      </w:r>
      <w:r>
        <w:t xml:space="preserve">becomes</w:t>
      </w:r>
      <w:r>
        <w:t xml:space="preserve"> </w:t>
      </w:r>
      <m:oMath>
        <m:r>
          <m:t>B</m:t>
        </m:r>
      </m:oMath>
      <w:r>
        <w:t xml:space="preserve"> </w:t>
      </w:r>
      <w:r>
        <w:t xml:space="preserve">between contexts</w:t>
      </w:r>
      <w:r>
        <w:t xml:space="preserve"> </w:t>
      </w:r>
      <m:oMath>
        <m:r>
          <m:t>C</m:t>
        </m:r>
      </m:oMath>
      <w:r>
        <w:t xml:space="preserve"> </w:t>
      </w:r>
      <w:r>
        <w:t xml:space="preserve">and</w:t>
      </w:r>
      <w:r>
        <w:t xml:space="preserve"> </w:t>
      </w:r>
      <m:oMath>
        <m:r>
          <m:t>D</m:t>
        </m:r>
      </m:oMath>
      <w:r>
        <w:t xml:space="preserve">. Five sound-change categories are implemented.</w:t>
      </w:r>
    </w:p>
    <w:p>
      <w:pPr>
        <w:pStyle w:val="BodyText"/>
      </w:pPr>
      <w:r>
        <w:rPr>
          <w:iCs/>
          <w:i/>
        </w:rPr>
        <w:t xml:space="preserve">Rule 1 (R1), intervocalic stop weakening and elision.</w:t>
      </w:r>
      <w:r>
        <w:t xml:space="preserve"> </w:t>
      </w:r>
      <w:r>
        <w:t xml:space="preserve">Non-initial single stops between vowels weaken and are elided in MIA, producing hiatus or glides [2], as in Sanskrit</w:t>
      </w:r>
      <w:r>
        <w:t xml:space="preserve"> </w:t>
      </w:r>
      <w:r>
        <w:rPr>
          <w:iCs/>
          <w:i/>
        </w:rPr>
        <w:t xml:space="preserve">kāka</w:t>
      </w:r>
      <w:r>
        <w:t xml:space="preserve"> </w:t>
      </w:r>
      <w:r>
        <w:t xml:space="preserve">→ Prakrit</w:t>
      </w:r>
      <w:r>
        <w:t xml:space="preserve"> </w:t>
      </w:r>
      <w:r>
        <w:rPr>
          <w:iCs/>
          <w:i/>
        </w:rPr>
        <w:t xml:space="preserve">kāa</w:t>
      </w:r>
      <w:r>
        <w:t xml:space="preserve">:</w:t>
      </w:r>
    </w:p>
    <w:p>
      <w:pPr>
        <w:keepLines/>
        <w:tabs>
          <w:tab w:val="center" w:pos="2186"/>
          <w:tab w:val="right" w:pos="4873"/>
        </w:tabs>
        <w:spacing w:before="80" w:after="80"/>
        <w:ind w:firstLine="0"/>
        <w:jc w:val="left"/>
      </w:pPr>
      <w:r>
        <w:rPr>
          <w:rFonts w:ascii="Times New Roman" w:hAnsi="Times New Roman"/>
          <w:sz w:val="20"/>
        </w:rPr>
        <w:tab/>
      </w:r>
      <m:oMath>
        <m:d>
          <m:dPr>
            <m:begChr m:val="["/>
            <m:endChr m:val="]"/>
            <m:sepChr m:val=""/>
            <m:grow/>
          </m:dPr>
          <m:e>
            <m:r>
              <m:rPr>
                <m:sty m:val="p"/>
              </m:rPr>
              <m:t>−</m:t>
            </m:r>
            <m:r>
              <m:rPr>
                <m:nor/>
                <m:sty m:val="p"/>
              </m:rPr>
              <m:t>son</m:t>
            </m:r>
            <m:r>
              <m:rPr>
                <m:sty m:val="p"/>
              </m:rPr>
              <m:t>,</m:t>
            </m:r>
            <m:r>
              <m:rPr>
                <m:sty m:val="p"/>
              </m:rPr>
              <m:t>−</m:t>
            </m:r>
            <m:r>
              <m:rPr>
                <m:nor/>
                <m:sty m:val="p"/>
              </m:rPr>
              <m:t>cont</m:t>
            </m:r>
            <m:r>
              <m:rPr>
                <m:sty m:val="p"/>
              </m:rPr>
              <m:t>,</m:t>
            </m:r>
            <m:r>
              <m:rPr>
                <m:sty m:val="p"/>
              </m:rPr>
              <m:t>−</m:t>
            </m:r>
            <m:r>
              <m:rPr>
                <m:nor/>
                <m:sty m:val="p"/>
              </m:rPr>
              <m:t>del.rel</m:t>
            </m:r>
          </m:e>
        </m:d>
        <m:r>
          <m:rPr>
            <m:sty m:val="p"/>
          </m:rPr>
          <m:t>→</m:t>
        </m:r>
        <m:r>
          <m:rPr>
            <m:sty m:val="p"/>
          </m:rPr>
          <m:t>⌀</m:t>
        </m:r>
        <m:r>
          <m:t> </m:t>
        </m:r>
        <m:r>
          <m:rPr>
            <m:sty m:val="p"/>
          </m:rPr>
          <m:t>/</m:t>
        </m:r>
        <m:r>
          <m:t> </m:t>
        </m:r>
        <m:d>
          <m:dPr>
            <m:begChr m:val="["/>
            <m:endChr m:val="]"/>
            <m:sepChr m:val=""/>
            <m:grow/>
          </m:dPr>
          <m:e>
            <m:r>
              <m:rPr>
                <m:sty m:val="p"/>
              </m:rPr>
              <m:t>+</m:t>
            </m:r>
            <m:r>
              <m:rPr>
                <m:nor/>
                <m:sty m:val="p"/>
              </m:rPr>
              <m:t>syll</m:t>
            </m:r>
          </m:e>
        </m:d>
        <m:r>
          <m:t> </m:t>
        </m:r>
        <m:bar>
          <m:barPr>
            <m:pos m:val="bot"/>
          </m:barPr>
          <m:e>
            <m:r>
              <m:t> </m:t>
            </m:r>
          </m:e>
        </m:bar>
        <m:r>
          <m:t> </m:t>
        </m:r>
        <m:d>
          <m:dPr>
            <m:begChr m:val="["/>
            <m:endChr m:val="]"/>
            <m:sepChr m:val=""/>
            <m:grow/>
          </m:dPr>
          <m:e>
            <m:r>
              <m:rPr>
                <m:sty m:val="p"/>
              </m:rPr>
              <m:t>+</m:t>
            </m:r>
            <m:r>
              <m:rPr>
                <m:nor/>
                <m:sty m:val="p"/>
              </m:rPr>
              <m:t>syll</m:t>
            </m:r>
          </m:e>
        </m:d>
      </m:oMath>
      <w:r>
        <w:rPr>
          <w:rFonts w:ascii="Times New Roman" w:hAnsi="Times New Roman"/>
          <w:sz w:val="20"/>
        </w:rPr>
        <w:tab/>
      </w:r>
      <w:r>
        <w:rPr>
          <w:rFonts w:ascii="Times New Roman" w:hAnsi="Times New Roman"/>
          <w:sz w:val="20"/>
        </w:rPr>
        <w:t>(3)</w:t>
      </w:r>
    </w:p>
    <w:p>
      <w:pPr>
        <w:pStyle w:val="FirstParagraph"/>
      </w:pPr>
      <w:r>
        <w:rPr>
          <w:iCs/>
          <w:i/>
        </w:rPr>
        <w:t xml:space="preserve">Rule 2 (R2), consonant cluster assimilation.</w:t>
      </w:r>
      <w:r>
        <w:t xml:space="preserve"> </w:t>
      </w:r>
      <w:r>
        <w:t xml:space="preserve">Heterogeneous clusters assimilate toward the more sonorous or dental/retroflex-dominant segment, yielding geminates [3], as in Sanskrit</w:t>
      </w:r>
      <w:r>
        <w:t xml:space="preserve"> </w:t>
      </w:r>
      <w:r>
        <w:rPr>
          <w:iCs/>
          <w:i/>
        </w:rPr>
        <w:t xml:space="preserve">bhakta</w:t>
      </w:r>
      <w:r>
        <w:t xml:space="preserve"> </w:t>
      </w:r>
      <w:r>
        <w:t xml:space="preserve">→ Prakrit</w:t>
      </w:r>
      <w:r>
        <w:t xml:space="preserve"> </w:t>
      </w:r>
      <w:r>
        <w:rPr>
          <w:iCs/>
          <w:i/>
        </w:rPr>
        <w:t xml:space="preserve">bhatta</w:t>
      </w:r>
      <w:r>
        <w:t xml:space="preserve"> </w:t>
      </w:r>
      <w:r>
        <w:t xml:space="preserve">and</w:t>
      </w:r>
      <w:r>
        <w:t xml:space="preserve"> </w:t>
      </w:r>
      <w:r>
        <w:rPr>
          <w:iCs/>
          <w:i/>
        </w:rPr>
        <w:t xml:space="preserve">karman</w:t>
      </w:r>
      <w:r>
        <w:t xml:space="preserve"> </w:t>
      </w:r>
      <w:r>
        <w:t xml:space="preserve">→</w:t>
      </w:r>
      <w:r>
        <w:t xml:space="preserve"> </w:t>
      </w:r>
      <w:r>
        <w:rPr>
          <w:iCs/>
          <w:i/>
        </w:rPr>
        <w:t xml:space="preserve">kamma</w:t>
      </w:r>
      <w:r>
        <w:t xml:space="preserve">:</w:t>
      </w:r>
    </w:p>
    <w:p>
      <w:pPr>
        <w:keepLines/>
        <w:tabs>
          <w:tab w:val="center" w:pos="2186"/>
          <w:tab w:val="right" w:pos="4873"/>
        </w:tabs>
        <w:spacing w:before="80" w:after="80"/>
        <w:ind w:firstLine="0"/>
        <w:jc w:val="left"/>
      </w:pPr>
      <w:r>
        <w:rPr>
          <w:rFonts w:ascii="Times New Roman" w:hAnsi="Times New Roman"/>
          <w:sz w:val="20"/>
        </w:rPr>
        <w:tab/>
      </w:r>
      <m:oMath>
        <m:sSub>
          <m:e>
            <m:r>
              <m:t>C</m:t>
            </m:r>
          </m:e>
          <m:sub>
            <m:r>
              <m:t>1</m:t>
            </m:r>
          </m:sub>
        </m:sSub>
        <m:sSub>
          <m:e>
            <m:r>
              <m:t>C</m:t>
            </m:r>
          </m:e>
          <m:sub>
            <m:r>
              <m:t>2</m:t>
            </m:r>
          </m:sub>
        </m:sSub>
        <m:r>
          <m:rPr>
            <m:sty m:val="p"/>
          </m:rPr>
          <m:t>→</m:t>
        </m:r>
        <m:sSub>
          <m:e>
            <m:r>
              <m:t>C</m:t>
            </m:r>
          </m:e>
          <m:sub>
            <m:r>
              <m:t>2</m:t>
            </m:r>
          </m:sub>
        </m:sSub>
        <m:sSub>
          <m:e>
            <m:r>
              <m:t>C</m:t>
            </m:r>
          </m:e>
          <m:sub>
            <m:r>
              <m:t>2</m:t>
            </m:r>
          </m:sub>
        </m:sSub>
        <m:r>
          <m:t> </m:t>
        </m:r>
        <m:d>
          <m:dPr>
            <m:begChr m:val="("/>
            <m:endChr m:val=")"/>
            <m:sepChr m:val=""/>
            <m:grow/>
          </m:dPr>
          <m:e>
            <m:r>
              <m:rPr>
                <m:nor/>
                <m:sty m:val="p"/>
              </m:rPr>
              <m:t>or </m:t>
            </m:r>
            <m:sSub>
              <m:e>
                <m:r>
                  <m:t>C</m:t>
                </m:r>
              </m:e>
              <m:sub>
                <m:r>
                  <m:t>1</m:t>
                </m:r>
              </m:sub>
            </m:sSub>
            <m:sSub>
              <m:e>
                <m:r>
                  <m:t>C</m:t>
                </m:r>
              </m:e>
              <m:sub>
                <m:r>
                  <m:t>1</m:t>
                </m:r>
              </m:sub>
            </m:sSub>
          </m:e>
        </m:d>
      </m:oMath>
      <w:r>
        <w:rPr>
          <w:rFonts w:ascii="Times New Roman" w:hAnsi="Times New Roman"/>
          <w:sz w:val="20"/>
        </w:rPr>
        <w:tab/>
      </w:r>
      <w:r>
        <w:rPr>
          <w:rFonts w:ascii="Times New Roman" w:hAnsi="Times New Roman"/>
          <w:sz w:val="20"/>
        </w:rPr>
        <w:t>(4)</w:t>
      </w:r>
    </w:p>
    <w:p>
      <w:pPr>
        <w:pStyle w:val="FirstParagraph"/>
      </w:pPr>
      <w:r>
        <w:rPr>
          <w:iCs/>
          <w:i/>
        </w:rPr>
        <w:t xml:space="preserve">Rule 3 (R3), degemination with compensatory lengthening.</w:t>
      </w:r>
      <w:r>
        <w:t xml:space="preserve"> </w:t>
      </w:r>
      <w:r>
        <w:t xml:space="preserve">The defining MIA-to-NIA change simplifies Prakrit geminates and lengthens the preceding short vowel</w:t>
      </w:r>
      <w:r>
        <w:t xml:space="preserve"> </w:t>
      </w:r>
      <m:oMath>
        <m:r>
          <m:t>V</m:t>
        </m:r>
        <m:r>
          <m:rPr>
            <m:sty m:val="p"/>
          </m:rPr>
          <m:t>∈</m:t>
        </m:r>
        <m:r>
          <m:rPr>
            <m:sty m:val="p"/>
          </m:rPr>
          <m:t>{</m:t>
        </m:r>
        <m:r>
          <m:rPr>
            <m:nor/>
            <m:sty m:val="p"/>
          </m:rPr>
          <m:t>a</m:t>
        </m:r>
        <m:r>
          <m:rPr>
            <m:sty m:val="p"/>
          </m:rPr>
          <m:t>,</m:t>
        </m:r>
        <m:r>
          <m:rPr>
            <m:nor/>
            <m:sty m:val="p"/>
          </m:rPr>
          <m:t>i</m:t>
        </m:r>
        <m:r>
          <m:rPr>
            <m:sty m:val="p"/>
          </m:rPr>
          <m:t>,</m:t>
        </m:r>
        <m:r>
          <m:rPr>
            <m:nor/>
            <m:sty m:val="p"/>
          </m:rPr>
          <m:t>u</m:t>
        </m:r>
        <m:r>
          <m:rPr>
            <m:sty m:val="p"/>
          </m:rPr>
          <m:t>}</m:t>
        </m:r>
      </m:oMath>
      <w:r>
        <w:t xml:space="preserve"> </w:t>
      </w:r>
      <w:r>
        <w:t xml:space="preserve">to preserve syllable weight [4]:</w:t>
      </w:r>
    </w:p>
    <w:p>
      <w:pPr>
        <w:keepLines/>
        <w:tabs>
          <w:tab w:val="center" w:pos="2186"/>
          <w:tab w:val="right" w:pos="4873"/>
        </w:tabs>
        <w:spacing w:before="80" w:after="80"/>
        <w:ind w:firstLine="0"/>
        <w:jc w:val="left"/>
      </w:pPr>
      <w:r>
        <w:rPr>
          <w:rFonts w:ascii="Times New Roman" w:hAnsi="Times New Roman"/>
          <w:sz w:val="20"/>
        </w:rPr>
        <w:tab/>
      </w:r>
      <m:oMath>
        <m:acc>
          <m:accPr>
            <m:chr m:val="̆"/>
          </m:accPr>
          <m:e>
            <m:r>
              <m:t>V</m:t>
            </m:r>
          </m:e>
        </m:acc>
        <m:sSub>
          <m:e>
            <m:r>
              <m:t>C</m:t>
            </m:r>
          </m:e>
          <m:sub>
            <m:r>
              <m:t>i</m:t>
            </m:r>
          </m:sub>
        </m:sSub>
        <m:sSub>
          <m:e>
            <m:r>
              <m:t>C</m:t>
            </m:r>
          </m:e>
          <m:sub>
            <m:r>
              <m:t>i</m:t>
            </m:r>
          </m:sub>
        </m:sSub>
        <m:r>
          <m:rPr>
            <m:sty m:val="p"/>
          </m:rPr>
          <m:t>→</m:t>
        </m:r>
        <m:acc>
          <m:accPr>
            <m:chr m:val="‾"/>
          </m:accPr>
          <m:e>
            <m:r>
              <m:t>V</m:t>
            </m:r>
          </m:e>
        </m:acc>
        <m:sSub>
          <m:e>
            <m:r>
              <m:t>C</m:t>
            </m:r>
          </m:e>
          <m:sub>
            <m:r>
              <m:t>i</m:t>
            </m:r>
          </m:sub>
        </m:sSub>
      </m:oMath>
      <w:r>
        <w:rPr>
          <w:rFonts w:ascii="Times New Roman" w:hAnsi="Times New Roman"/>
          <w:sz w:val="20"/>
        </w:rPr>
        <w:tab/>
      </w:r>
      <w:r>
        <w:rPr>
          <w:rFonts w:ascii="Times New Roman" w:hAnsi="Times New Roman"/>
          <w:sz w:val="20"/>
        </w:rPr>
        <w:t>(5)</w:t>
      </w:r>
    </w:p>
    <w:p>
      <w:pPr>
        <w:pStyle w:val="FirstParagraph"/>
      </w:pPr>
      <w:r>
        <w:t xml:space="preserve">as in Sanskrit</w:t>
      </w:r>
      <w:r>
        <w:t xml:space="preserve"> </w:t>
      </w:r>
      <w:r>
        <w:rPr>
          <w:iCs/>
          <w:i/>
        </w:rPr>
        <w:t xml:space="preserve">hasta</w:t>
      </w:r>
      <w:r>
        <w:t xml:space="preserve"> </w:t>
      </w:r>
      <w:r>
        <w:t xml:space="preserve">→ Prakrit</w:t>
      </w:r>
      <w:r>
        <w:t xml:space="preserve"> </w:t>
      </w:r>
      <w:r>
        <w:rPr>
          <w:iCs/>
          <w:i/>
        </w:rPr>
        <w:t xml:space="preserve">hattha</w:t>
      </w:r>
      <w:r>
        <w:t xml:space="preserve"> </w:t>
      </w:r>
      <w:r>
        <w:t xml:space="preserve">→ Marathi</w:t>
      </w:r>
      <w:r>
        <w:t xml:space="preserve"> </w:t>
      </w:r>
      <w:r>
        <w:rPr>
          <w:iCs/>
          <w:i/>
        </w:rPr>
        <w:t xml:space="preserve">hāt</w:t>
      </w:r>
      <w:r>
        <w:t xml:space="preserve"> </w:t>
      </w:r>
      <w:r>
        <w:t xml:space="preserve">and</w:t>
      </w:r>
      <w:r>
        <w:t xml:space="preserve"> </w:t>
      </w:r>
      <w:r>
        <w:rPr>
          <w:iCs/>
          <w:i/>
        </w:rPr>
        <w:t xml:space="preserve">sapta</w:t>
      </w:r>
      <w:r>
        <w:t xml:space="preserve"> </w:t>
      </w:r>
      <w:r>
        <w:t xml:space="preserve">→</w:t>
      </w:r>
      <w:r>
        <w:t xml:space="preserve"> </w:t>
      </w:r>
      <w:r>
        <w:rPr>
          <w:iCs/>
          <w:i/>
        </w:rPr>
        <w:t xml:space="preserve">satta</w:t>
      </w:r>
      <w:r>
        <w:t xml:space="preserve"> </w:t>
      </w:r>
      <w:r>
        <w:t xml:space="preserve">→</w:t>
      </w:r>
      <w:r>
        <w:t xml:space="preserve"> </w:t>
      </w:r>
      <w:r>
        <w:rPr>
          <w:iCs/>
          <w:i/>
        </w:rPr>
        <w:t xml:space="preserve">sāt</w:t>
      </w:r>
      <w:r>
        <w:t xml:space="preserve">.</w:t>
      </w:r>
    </w:p>
    <w:p>
      <w:pPr>
        <w:pStyle w:val="BodyText"/>
      </w:pPr>
      <w:r>
        <w:rPr>
          <w:iCs/>
          <w:i/>
        </w:rPr>
        <w:t xml:space="preserve">Rule 4 (R4), conditioned retroflexion.</w:t>
      </w:r>
      <w:r>
        <w:t xml:space="preserve"> </w:t>
      </w:r>
      <w:r>
        <w:t xml:space="preserve">Intervocalic dental nasals become retroflex, and the dental lateral becomes the retroflex lateral, a hallmark of the southern Indo-Aryan group [2]:</w:t>
      </w:r>
    </w:p>
    <w:p>
      <w:pPr>
        <w:keepLines/>
        <w:tabs>
          <w:tab w:val="center" w:pos="2186"/>
          <w:tab w:val="right" w:pos="4873"/>
        </w:tabs>
        <w:spacing w:before="80" w:after="80"/>
        <w:ind w:firstLine="0"/>
        <w:jc w:val="left"/>
      </w:pPr>
      <w:r>
        <w:rPr>
          <w:rFonts w:ascii="Times New Roman" w:hAnsi="Times New Roman"/>
          <w:sz w:val="20"/>
        </w:rPr>
        <w:tab/>
      </w:r>
      <m:oMath>
        <m:r>
          <m:rPr>
            <m:sty m:val="p"/>
          </m:rPr>
          <m:t>/</m:t>
        </m:r>
        <m:r>
          <m:rPr>
            <m:nor/>
            <m:sty m:val="p"/>
          </m:rPr>
          <m:t>l</m:t>
        </m:r>
        <m:r>
          <m:rPr>
            <m:sty m:val="p"/>
          </m:rPr>
          <m:t>/</m:t>
        </m:r>
        <m:r>
          <m:rPr>
            <m:sty m:val="p"/>
          </m:rPr>
          <m:t>→</m:t>
        </m:r>
        <m:r>
          <m:rPr>
            <m:sty m:val="p"/>
          </m:rPr>
          <m:t>/</m:t>
        </m:r>
        <m:r>
          <m:rPr>
            <m:nor/>
            <m:sty m:val="p"/>
          </m:rPr>
          <m:t>ɭ</m:t>
        </m:r>
        <m:r>
          <m:rPr>
            <m:sty m:val="p"/>
          </m:rPr>
          <m:t>/</m:t>
        </m:r>
        <m:r>
          <m:t> </m:t>
        </m:r>
        <m:r>
          <m:rPr>
            <m:sty m:val="p"/>
          </m:rPr>
          <m:t>/</m:t>
        </m:r>
        <m:r>
          <m:t> </m:t>
        </m:r>
        <m:d>
          <m:dPr>
            <m:begChr m:val="["/>
            <m:endChr m:val="]"/>
            <m:sepChr m:val=""/>
            <m:grow/>
          </m:dPr>
          <m:e>
            <m:r>
              <m:rPr>
                <m:sty m:val="p"/>
              </m:rPr>
              <m:t>+</m:t>
            </m:r>
            <m:r>
              <m:rPr>
                <m:nor/>
                <m:sty m:val="p"/>
              </m:rPr>
              <m:t>syll</m:t>
            </m:r>
          </m:e>
        </m:d>
        <m:r>
          <m:t> </m:t>
        </m:r>
        <m:bar>
          <m:barPr>
            <m:pos m:val="bot"/>
          </m:barPr>
          <m:e>
            <m:r>
              <m:t> </m:t>
            </m:r>
          </m:e>
        </m:bar>
        <m:r>
          <m:t> </m:t>
        </m:r>
        <m:d>
          <m:dPr>
            <m:begChr m:val="["/>
            <m:endChr m:val="]"/>
            <m:sepChr m:val=""/>
            <m:grow/>
          </m:dPr>
          <m:e>
            <m:r>
              <m:rPr>
                <m:sty m:val="p"/>
              </m:rPr>
              <m:t>+</m:t>
            </m:r>
            <m:r>
              <m:rPr>
                <m:nor/>
                <m:sty m:val="p"/>
              </m:rPr>
              <m:t>syll</m:t>
            </m:r>
          </m:e>
        </m:d>
      </m:oMath>
      <w:r>
        <w:rPr>
          <w:rFonts w:ascii="Times New Roman" w:hAnsi="Times New Roman"/>
          <w:sz w:val="20"/>
        </w:rPr>
        <w:tab/>
      </w:r>
      <w:r>
        <w:rPr>
          <w:rFonts w:ascii="Times New Roman" w:hAnsi="Times New Roman"/>
          <w:sz w:val="20"/>
        </w:rPr>
        <w:t>(6)</w:t>
      </w:r>
    </w:p>
    <w:p>
      <w:pPr>
        <w:keepLines/>
        <w:tabs>
          <w:tab w:val="center" w:pos="2186"/>
          <w:tab w:val="right" w:pos="4873"/>
        </w:tabs>
        <w:spacing w:before="80" w:after="80"/>
        <w:ind w:firstLine="0"/>
        <w:jc w:val="left"/>
      </w:pPr>
      <w:r>
        <w:rPr>
          <w:rFonts w:ascii="Times New Roman" w:hAnsi="Times New Roman"/>
          <w:sz w:val="20"/>
        </w:rPr>
        <w:tab/>
      </w:r>
      <m:oMath>
        <m:r>
          <m:rPr>
            <m:sty m:val="p"/>
          </m:rPr>
          <m:t>/</m:t>
        </m:r>
        <m:r>
          <m:rPr>
            <m:nor/>
            <m:sty m:val="p"/>
          </m:rPr>
          <m:t>n</m:t>
        </m:r>
        <m:r>
          <m:rPr>
            <m:sty m:val="p"/>
          </m:rPr>
          <m:t>/</m:t>
        </m:r>
        <m:r>
          <m:rPr>
            <m:sty m:val="p"/>
          </m:rPr>
          <m:t>→</m:t>
        </m:r>
        <m:r>
          <m:rPr>
            <m:sty m:val="p"/>
          </m:rPr>
          <m:t>/</m:t>
        </m:r>
        <m:r>
          <m:rPr>
            <m:nor/>
            <m:sty m:val="p"/>
          </m:rPr>
          <m:t>ɳ</m:t>
        </m:r>
        <m:r>
          <m:rPr>
            <m:sty m:val="p"/>
          </m:rPr>
          <m:t>/</m:t>
        </m:r>
        <m:r>
          <m:t> </m:t>
        </m:r>
        <m:r>
          <m:rPr>
            <m:sty m:val="p"/>
          </m:rPr>
          <m:t>/</m:t>
        </m:r>
        <m:r>
          <m:t> </m:t>
        </m:r>
        <m:d>
          <m:dPr>
            <m:begChr m:val="["/>
            <m:endChr m:val="]"/>
            <m:sepChr m:val=""/>
            <m:grow/>
          </m:dPr>
          <m:e>
            <m:r>
              <m:rPr>
                <m:sty m:val="p"/>
              </m:rPr>
              <m:t>+</m:t>
            </m:r>
            <m:r>
              <m:rPr>
                <m:nor/>
                <m:sty m:val="p"/>
              </m:rPr>
              <m:t>syll</m:t>
            </m:r>
          </m:e>
        </m:d>
        <m:r>
          <m:t> </m:t>
        </m:r>
        <m:bar>
          <m:barPr>
            <m:pos m:val="bot"/>
          </m:barPr>
          <m:e>
            <m:r>
              <m:t> </m:t>
            </m:r>
          </m:e>
        </m:bar>
        <m:r>
          <m:t> </m:t>
        </m:r>
        <m:d>
          <m:dPr>
            <m:begChr m:val="["/>
            <m:endChr m:val="]"/>
            <m:sepChr m:val=""/>
            <m:grow/>
          </m:dPr>
          <m:e>
            <m:r>
              <m:rPr>
                <m:sty m:val="p"/>
              </m:rPr>
              <m:t>+</m:t>
            </m:r>
            <m:r>
              <m:rPr>
                <m:nor/>
                <m:sty m:val="p"/>
              </m:rPr>
              <m:t>syll</m:t>
            </m:r>
          </m:e>
        </m:d>
      </m:oMath>
      <w:r>
        <w:rPr>
          <w:rFonts w:ascii="Times New Roman" w:hAnsi="Times New Roman"/>
          <w:sz w:val="20"/>
        </w:rPr>
        <w:tab/>
      </w:r>
      <w:r>
        <w:rPr>
          <w:rFonts w:ascii="Times New Roman" w:hAnsi="Times New Roman"/>
          <w:sz w:val="20"/>
        </w:rPr>
        <w:t>(7)</w:t>
      </w:r>
    </w:p>
    <w:p>
      <w:pPr>
        <w:pStyle w:val="FirstParagraph"/>
      </w:pPr>
      <w:r>
        <w:t xml:space="preserve">giving, for example, Sanskrit</w:t>
      </w:r>
      <w:r>
        <w:t xml:space="preserve"> </w:t>
      </w:r>
      <w:r>
        <w:rPr>
          <w:iCs/>
          <w:i/>
        </w:rPr>
        <w:t xml:space="preserve">pānīya</w:t>
      </w:r>
      <w:r>
        <w:t xml:space="preserve"> </w:t>
      </w:r>
      <w:r>
        <w:t xml:space="preserve">→ Marathi</w:t>
      </w:r>
      <w:r>
        <w:t xml:space="preserve"> </w:t>
      </w:r>
      <w:r>
        <w:rPr>
          <w:iCs/>
          <w:i/>
        </w:rPr>
        <w:t xml:space="preserve">pāṇī</w:t>
      </w:r>
      <w:r>
        <w:t xml:space="preserve"> </w:t>
      </w:r>
      <w:r>
        <w:t xml:space="preserve">and</w:t>
      </w:r>
      <w:r>
        <w:t xml:space="preserve"> </w:t>
      </w:r>
      <w:r>
        <w:rPr>
          <w:iCs/>
          <w:i/>
        </w:rPr>
        <w:t xml:space="preserve">phala</w:t>
      </w:r>
      <w:r>
        <w:t xml:space="preserve"> </w:t>
      </w:r>
      <w:r>
        <w:t xml:space="preserve">→</w:t>
      </w:r>
      <w:r>
        <w:t xml:space="preserve"> </w:t>
      </w:r>
      <w:r>
        <w:rPr>
          <w:iCs/>
          <w:i/>
        </w:rPr>
        <w:t xml:space="preserve">phaḷ</w:t>
      </w:r>
      <w:r>
        <w:t xml:space="preserve">.</w:t>
      </w:r>
    </w:p>
    <w:p>
      <w:pPr>
        <w:pStyle w:val="BodyText"/>
      </w:pPr>
      <w:r>
        <w:rPr>
          <w:iCs/>
          <w:i/>
        </w:rPr>
        <w:t xml:space="preserve">Rule 5 (R5), terminal apocope and schwa deletion.</w:t>
      </w:r>
      <w:r>
        <w:t xml:space="preserve"> </w:t>
      </w:r>
      <w:r>
        <w:t xml:space="preserve">Word-final short vowels and unaccented non-initial schwas are deleted in the transition to modern speech [4], for example Prakrit</w:t>
      </w:r>
      <w:r>
        <w:t xml:space="preserve"> </w:t>
      </w:r>
      <w:r>
        <w:rPr>
          <w:iCs/>
          <w:i/>
        </w:rPr>
        <w:t xml:space="preserve">hattha</w:t>
      </w:r>
      <w:r>
        <w:t xml:space="preserve"> </w:t>
      </w:r>
      <w:r>
        <w:t xml:space="preserve">→ Marathi</w:t>
      </w:r>
      <w:r>
        <w:t xml:space="preserve"> </w:t>
      </w:r>
      <w:r>
        <w:rPr>
          <w:iCs/>
          <w:i/>
        </w:rPr>
        <w:t xml:space="preserve">hāt</w:t>
      </w:r>
      <w:r>
        <w:t xml:space="preserve">:</w:t>
      </w:r>
    </w:p>
    <w:p>
      <w:pPr>
        <w:keepLines/>
        <w:tabs>
          <w:tab w:val="center" w:pos="2186"/>
          <w:tab w:val="right" w:pos="4873"/>
        </w:tabs>
        <w:spacing w:before="80" w:after="80"/>
        <w:ind w:firstLine="0"/>
        <w:jc w:val="left"/>
      </w:pPr>
      <w:r>
        <w:rPr>
          <w:rFonts w:ascii="Times New Roman" w:hAnsi="Times New Roman"/>
          <w:sz w:val="20"/>
        </w:rPr>
        <w:tab/>
      </w:r>
      <m:oMath>
        <m:r>
          <m:rPr>
            <m:sty m:val="p"/>
          </m:rPr>
          <m:t>/</m:t>
        </m:r>
        <m:r>
          <m:rPr>
            <m:nor/>
            <m:sty m:val="p"/>
          </m:rPr>
          <m:t>ə</m:t>
        </m:r>
        <m:r>
          <m:rPr>
            <m:sty m:val="p"/>
          </m:rPr>
          <m:t>/</m:t>
        </m:r>
        <m:r>
          <m:rPr>
            <m:sty m:val="p"/>
          </m:rPr>
          <m:t>→</m:t>
        </m:r>
        <m:r>
          <m:rPr>
            <m:sty m:val="p"/>
          </m:rPr>
          <m:t>⌀</m:t>
        </m:r>
        <m:r>
          <m:t> </m:t>
        </m:r>
        <m:r>
          <m:rPr>
            <m:sty m:val="p"/>
          </m:rPr>
          <m:t>/</m:t>
        </m:r>
        <m:r>
          <m:t> </m:t>
        </m:r>
        <m:bar>
          <m:barPr>
            <m:pos m:val="bot"/>
          </m:barPr>
          <m:e>
            <m:r>
              <m:t> </m:t>
            </m:r>
          </m:e>
        </m:bar>
        <m:r>
          <m:t> </m:t>
        </m:r>
        <m:r>
          <m:rPr>
            <m:sty m:val="p"/>
          </m:rPr>
          <m:t>#</m:t>
        </m:r>
      </m:oMath>
      <w:r>
        <w:rPr>
          <w:rFonts w:ascii="Times New Roman" w:hAnsi="Times New Roman"/>
          <w:sz w:val="20"/>
        </w:rPr>
        <w:tab/>
      </w:r>
      <w:r>
        <w:rPr>
          <w:rFonts w:ascii="Times New Roman" w:hAnsi="Times New Roman"/>
          <w:sz w:val="20"/>
        </w:rPr>
        <w:t>(8)</w:t>
      </w:r>
    </w:p>
    <w:p>
      <w:pPr>
        <w:pStyle w:val="FirstParagraph"/>
      </w:pPr>
      <w:r>
        <w:rPr>
          <w:bCs/>
          <w:b/>
        </w:rPr>
        <w:t xml:space="preserve">D. Rule-constrained cross-attention.</w:t>
      </w:r>
      <w:r>
        <w:t xml:space="preserve"> </w:t>
      </w:r>
      <w:r>
        <w:t xml:space="preserve">The neural core is an encoder-decoder Transformer [7]. A bidirectional encoder maps the embedded source to hidden states</w:t>
      </w:r>
      <w:r>
        <w:t xml:space="preserve"> </w:t>
      </w:r>
      <m:oMath>
        <m:r>
          <m:rPr>
            <m:sty m:val="b"/>
          </m:rPr>
          <m:t>H</m:t>
        </m:r>
        <m:r>
          <m:rPr>
            <m:sty m:val="p"/>
          </m:rPr>
          <m:t>=</m:t>
        </m:r>
        <m:d>
          <m:dPr>
            <m:begChr m:val="("/>
            <m:endChr m:val=")"/>
            <m:sepChr m:val=""/>
            <m:grow/>
          </m:dPr>
          <m:e>
            <m:sSub>
              <m:e>
                <m:r>
                  <m:rPr>
                    <m:sty m:val="b"/>
                  </m:rPr>
                  <m:t>h</m:t>
                </m:r>
              </m:e>
              <m:sub>
                <m:r>
                  <m:t>1</m:t>
                </m:r>
              </m:sub>
            </m:sSub>
            <m:r>
              <m:rPr>
                <m:sty m:val="p"/>
              </m:rPr>
              <m:t>,</m:t>
            </m:r>
            <m:r>
              <m:rPr>
                <m:sty m:val="p"/>
              </m:rPr>
              <m:t>…</m:t>
            </m:r>
            <m:r>
              <m:rPr>
                <m:sty m:val="p"/>
              </m:rPr>
              <m:t>,</m:t>
            </m:r>
            <m:sSub>
              <m:e>
                <m:r>
                  <m:rPr>
                    <m:sty m:val="b"/>
                  </m:rPr>
                  <m:t>h</m:t>
                </m:r>
              </m:e>
              <m:sub>
                <m:r>
                  <m:t>N</m:t>
                </m:r>
              </m:sub>
            </m:sSub>
          </m:e>
        </m:d>
        <m:r>
          <m:rPr>
            <m:sty m:val="p"/>
          </m:rPr>
          <m:t>∈</m:t>
        </m:r>
        <m:sSup>
          <m:e>
            <m:r>
              <m:rPr>
                <m:sty m:val="p"/>
                <m:scr m:val="double-struck"/>
              </m:rPr>
              <m:t>R</m:t>
            </m:r>
          </m:e>
          <m:sup>
            <m:r>
              <m:t>N</m:t>
            </m:r>
            <m:r>
              <m:rPr>
                <m:sty m:val="p"/>
              </m:rPr>
              <m:t>×</m:t>
            </m:r>
            <m:sSub>
              <m:e>
                <m:r>
                  <m:t>d</m:t>
                </m:r>
              </m:e>
              <m:sub>
                <m:r>
                  <m:rPr>
                    <m:nor/>
                    <m:sty m:val="p"/>
                  </m:rPr>
                  <m:t>model</m:t>
                </m:r>
              </m:sub>
            </m:sSub>
          </m:sup>
        </m:sSup>
      </m:oMath>
      <w:r>
        <w:t xml:space="preserve">. During decoding, cross-attention is biased by a rule constraint matrix</w:t>
      </w:r>
      <w:r>
        <w:t xml:space="preserve"> </w:t>
      </w:r>
      <m:oMath>
        <m:r>
          <m:rPr>
            <m:sty m:val="b"/>
          </m:rPr>
          <m:t>R</m:t>
        </m:r>
        <m:r>
          <m:rPr>
            <m:sty m:val="p"/>
          </m:rPr>
          <m:t>∈</m:t>
        </m:r>
        <m:sSup>
          <m:e>
            <m:r>
              <m:rPr>
                <m:sty m:val="p"/>
                <m:scr m:val="double-struck"/>
              </m:rPr>
              <m:t>R</m:t>
            </m:r>
          </m:e>
          <m:sup>
            <m:r>
              <m:t>M</m:t>
            </m:r>
            <m:r>
              <m:rPr>
                <m:sty m:val="p"/>
              </m:rPr>
              <m:t>×</m:t>
            </m:r>
            <m:r>
              <m:t>N</m:t>
            </m:r>
          </m:sup>
        </m:sSup>
      </m:oMath>
      <w:r>
        <w:t xml:space="preserve">:</w:t>
      </w:r>
    </w:p>
    <w:p>
      <w:pPr>
        <w:keepLines/>
        <w:tabs>
          <w:tab w:val="center" w:pos="2186"/>
          <w:tab w:val="right" w:pos="4873"/>
        </w:tabs>
        <w:spacing w:before="80" w:after="80"/>
        <w:ind w:firstLine="0"/>
        <w:jc w:val="left"/>
      </w:pPr>
      <w:r>
        <w:rPr>
          <w:rFonts w:ascii="Times New Roman" w:hAnsi="Times New Roman"/>
          <w:sz w:val="20"/>
        </w:rPr>
        <w:tab/>
      </w: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r>
          <m:t>​</m:t>
        </m:r>
        <m:d>
          <m:dPr>
            <m:begChr m:val="("/>
            <m:endChr m:val=")"/>
            <m:sepChr m:val=""/>
            <m:grow/>
          </m:dPr>
          <m:e>
            <m:f>
              <m:fPr>
                <m:type m:val="bar"/>
              </m:fPr>
              <m:num>
                <m:r>
                  <m:t>Q</m:t>
                </m:r>
                <m:sSup>
                  <m:e>
                    <m:r>
                      <m:t>K</m:t>
                    </m:r>
                  </m:e>
                  <m:sup>
                    <m:r>
                      <m:rPr>
                        <m:sty m:val="p"/>
                      </m:rPr>
                      <m:t>⊤</m:t>
                    </m:r>
                  </m:sup>
                </m:sSup>
              </m:num>
              <m:den>
                <m:rad>
                  <m:radPr>
                    <m:degHide m:val="on"/>
                  </m:radPr>
                  <m:deg/>
                  <m:e>
                    <m:sSub>
                      <m:e>
                        <m:r>
                          <m:t>d</m:t>
                        </m:r>
                      </m:e>
                      <m:sub>
                        <m:r>
                          <m:t>k</m:t>
                        </m:r>
                      </m:sub>
                    </m:sSub>
                  </m:e>
                </m:rad>
              </m:den>
            </m:f>
            <m:r>
              <m:rPr>
                <m:sty m:val="p"/>
              </m:rPr>
              <m:t>+</m:t>
            </m:r>
            <m:r>
              <m:t>γ</m:t>
            </m:r>
            <m:r>
              <m:rPr>
                <m:sty m:val="b"/>
              </m:rPr>
              <m:t>R</m:t>
            </m:r>
          </m:e>
        </m:d>
        <m:r>
          <m:t>V</m:t>
        </m:r>
      </m:oMath>
      <w:r>
        <w:rPr>
          <w:rFonts w:ascii="Times New Roman" w:hAnsi="Times New Roman"/>
          <w:sz w:val="20"/>
        </w:rPr>
        <w:tab/>
      </w:r>
      <w:r>
        <w:rPr>
          <w:rFonts w:ascii="Times New Roman" w:hAnsi="Times New Roman"/>
          <w:sz w:val="20"/>
        </w:rPr>
        <w:t>(9)</w:t>
      </w:r>
    </w:p>
    <w:p>
      <w:pPr>
        <w:pStyle w:val="FirstParagraph"/>
      </w:pPr>
      <w:r>
        <w:t xml:space="preserve">with</w:t>
      </w:r>
      <w:r>
        <w:t xml:space="preserve"> </w:t>
      </w:r>
      <m:oMath>
        <m:r>
          <m:t>Q</m:t>
        </m:r>
        <m:r>
          <m:rPr>
            <m:sty m:val="p"/>
          </m:rPr>
          <m:t>=</m:t>
        </m:r>
        <m:sSub>
          <m:e>
            <m:r>
              <m:rPr>
                <m:sty m:val="b"/>
              </m:rPr>
              <m:t>s</m:t>
            </m:r>
          </m:e>
          <m:sub>
            <m:r>
              <m:t>m</m:t>
            </m:r>
          </m:sub>
        </m:sSub>
        <m:sSub>
          <m:e>
            <m:r>
              <m:t>W</m:t>
            </m:r>
          </m:e>
          <m:sub>
            <m:r>
              <m:t>Q</m:t>
            </m:r>
          </m:sub>
        </m:sSub>
      </m:oMath>
      <w:r>
        <w:t xml:space="preserve">,</w:t>
      </w:r>
      <w:r>
        <w:t xml:space="preserve"> </w:t>
      </w:r>
      <m:oMath>
        <m:r>
          <m:t>K</m:t>
        </m:r>
        <m:r>
          <m:rPr>
            <m:sty m:val="p"/>
          </m:rPr>
          <m:t>=</m:t>
        </m:r>
        <m:r>
          <m:rPr>
            <m:sty m:val="b"/>
          </m:rPr>
          <m:t>H</m:t>
        </m:r>
        <m:sSub>
          <m:e>
            <m:r>
              <m:t>W</m:t>
            </m:r>
          </m:e>
          <m:sub>
            <m:r>
              <m:t>K</m:t>
            </m:r>
          </m:sub>
        </m:sSub>
      </m:oMath>
      <w:r>
        <w:t xml:space="preserve">,</w:t>
      </w:r>
      <w:r>
        <w:t xml:space="preserve"> </w:t>
      </w:r>
      <m:oMath>
        <m:r>
          <m:t>V</m:t>
        </m:r>
        <m:r>
          <m:rPr>
            <m:sty m:val="p"/>
          </m:rPr>
          <m:t>=</m:t>
        </m:r>
        <m:r>
          <m:rPr>
            <m:sty m:val="b"/>
          </m:rPr>
          <m:t>H</m:t>
        </m:r>
        <m:sSub>
          <m:e>
            <m:r>
              <m:t>W</m:t>
            </m:r>
          </m:e>
          <m:sub>
            <m:r>
              <m:t>V</m:t>
            </m:r>
          </m:sub>
        </m:sSub>
      </m:oMath>
      <w:r>
        <w:t xml:space="preserve">, and a learnable positive scale</w:t>
      </w:r>
      <w:r>
        <w:t xml:space="preserve"> </w:t>
      </w:r>
      <m:oMath>
        <m:r>
          <m:t>γ</m:t>
        </m:r>
      </m:oMath>
      <w:r>
        <w:t xml:space="preserve">. Each entry is the log-probability of alignment under attested sound laws:</w:t>
      </w:r>
    </w:p>
    <w:p>
      <w:pPr>
        <w:keepLines/>
        <w:tabs>
          <w:tab w:val="center" w:pos="2186"/>
          <w:tab w:val="right" w:pos="4873"/>
        </w:tabs>
        <w:spacing w:before="80" w:after="80"/>
        <w:ind w:firstLine="0"/>
        <w:jc w:val="left"/>
      </w:pPr>
      <w:r>
        <w:rPr>
          <w:rFonts w:ascii="Times New Roman" w:hAnsi="Times New Roman"/>
          <w:sz w:val="20"/>
        </w:rPr>
        <w:tab/>
      </w:r>
      <m:oMath>
        <m:sSub>
          <m:e>
            <m:r>
              <m:t>R</m:t>
            </m:r>
          </m:e>
          <m:sub>
            <m:r>
              <m:t>m</m:t>
            </m:r>
            <m:r>
              <m:rPr>
                <m:sty m:val="p"/>
              </m:rPr>
              <m:t>,</m:t>
            </m:r>
            <m:r>
              <m:t>n</m:t>
            </m:r>
          </m:sub>
        </m:sSub>
        <m:r>
          <m:rPr>
            <m:sty m:val="p"/>
          </m:rPr>
          <m:t>=</m:t>
        </m:r>
        <m:r>
          <m:rPr>
            <m:sty m:val="p"/>
          </m:rPr>
          <m:t>log</m:t>
        </m:r>
        <m:sSub>
          <m:e>
            <m:r>
              <m:t>P</m:t>
            </m:r>
          </m:e>
          <m:sub>
            <m:r>
              <m:rPr>
                <m:nor/>
                <m:sty m:val="p"/>
              </m:rPr>
              <m:t>rule</m:t>
            </m:r>
          </m:sub>
        </m:sSub>
        <m:d>
          <m:dPr>
            <m:begChr m:val="("/>
            <m:endChr m:val=")"/>
            <m:sepChr m:val=""/>
            <m:grow/>
          </m:dPr>
          <m:e>
            <m:sSub>
              <m:e>
                <m:r>
                  <m:t>y</m:t>
                </m:r>
              </m:e>
              <m:sub>
                <m:r>
                  <m:t>m</m:t>
                </m:r>
              </m:sub>
            </m:sSub>
            <m:r>
              <m:rPr>
                <m:sty m:val="p"/>
              </m:rPr>
              <m:t>∣</m:t>
            </m:r>
            <m:sSub>
              <m:e>
                <m:r>
                  <m:t>x</m:t>
                </m:r>
              </m:e>
              <m:sub>
                <m:r>
                  <m:t>n</m:t>
                </m:r>
              </m:sub>
            </m:sSub>
            <m:r>
              <m:rPr>
                <m:sty m:val="p"/>
              </m:rPr>
              <m:t>,</m:t>
            </m:r>
            <m:sSub>
              <m:e>
                <m:r>
                  <m:rPr>
                    <m:sty m:val="p"/>
                    <m:scr m:val="script"/>
                  </m:rPr>
                  <m:t>C</m:t>
                </m:r>
              </m:e>
              <m:sub>
                <m:r>
                  <m:rPr>
                    <m:nor/>
                    <m:sty m:val="p"/>
                  </m:rPr>
                  <m:t>ctx</m:t>
                </m:r>
              </m:sub>
            </m:sSub>
          </m:e>
        </m:d>
      </m:oMath>
      <w:r>
        <w:rPr>
          <w:rFonts w:ascii="Times New Roman" w:hAnsi="Times New Roman"/>
          <w:sz w:val="20"/>
        </w:rPr>
        <w:tab/>
      </w:r>
      <w:r>
        <w:rPr>
          <w:rFonts w:ascii="Times New Roman" w:hAnsi="Times New Roman"/>
          <w:sz w:val="20"/>
        </w:rPr>
        <w:t>(10)</w:t>
      </w:r>
    </w:p>
    <w:p>
      <w:pPr>
        <w:pStyle w:val="FirstParagraph"/>
      </w:pPr>
      <w:r>
        <w:t xml:space="preserve">If candidate</w:t>
      </w:r>
      <w:r>
        <w:t xml:space="preserve"> </w:t>
      </w:r>
      <m:oMath>
        <m:sSub>
          <m:e>
            <m:r>
              <m:t>y</m:t>
            </m:r>
          </m:e>
          <m:sub>
            <m:r>
              <m:t>m</m:t>
            </m:r>
          </m:sub>
        </m:sSub>
      </m:oMath>
      <w:r>
        <w:t xml:space="preserve"> </w:t>
      </w:r>
      <w:r>
        <w:t xml:space="preserve">is a valid historical reflex of</w:t>
      </w:r>
      <w:r>
        <w:t xml:space="preserve"> </w:t>
      </w:r>
      <m:oMath>
        <m:sSub>
          <m:e>
            <m:r>
              <m:t>x</m:t>
            </m:r>
          </m:e>
          <m:sub>
            <m:r>
              <m:t>n</m:t>
            </m:r>
          </m:sub>
        </m:sSub>
      </m:oMath>
      <w:r>
        <w:t xml:space="preserve"> </w:t>
      </w:r>
      <w:r>
        <w:t xml:space="preserve">in context</w:t>
      </w:r>
      <w:r>
        <w:t xml:space="preserve"> </w:t>
      </w:r>
      <m:oMath>
        <m:sSub>
          <m:e>
            <m:r>
              <m:rPr>
                <m:sty m:val="p"/>
                <m:scr m:val="script"/>
              </m:rPr>
              <m:t>C</m:t>
            </m:r>
          </m:e>
          <m:sub>
            <m:r>
              <m:rPr>
                <m:nor/>
                <m:sty m:val="p"/>
              </m:rPr>
              <m:t>ctx</m:t>
            </m:r>
          </m:sub>
        </m:sSub>
      </m:oMath>
      <w:r>
        <w:t xml:space="preserve">, then</w:t>
      </w:r>
      <w:r>
        <w:t xml:space="preserve"> </w:t>
      </w:r>
      <m:oMath>
        <m:sSub>
          <m:e>
            <m:r>
              <m:t>R</m:t>
            </m:r>
          </m:e>
          <m:sub>
            <m:r>
              <m:t>m</m:t>
            </m:r>
            <m:r>
              <m:rPr>
                <m:sty m:val="p"/>
              </m:rPr>
              <m:t>,</m:t>
            </m:r>
            <m:r>
              <m:t>n</m:t>
            </m:r>
          </m:sub>
        </m:sSub>
        <m:r>
          <m:rPr>
            <m:sty m:val="p"/>
          </m:rPr>
          <m:t>=</m:t>
        </m:r>
        <m:r>
          <m:t>0</m:t>
        </m:r>
      </m:oMath>
      <w:r>
        <w:t xml:space="preserve">. If the change is historically impermissible, for example an unconditioned shift from a velar stop to a labiodental fricative, then</w:t>
      </w:r>
      <w:r>
        <w:t xml:space="preserve"> </w:t>
      </w:r>
      <m:oMath>
        <m:sSub>
          <m:e>
            <m:r>
              <m:t>R</m:t>
            </m:r>
          </m:e>
          <m:sub>
            <m:r>
              <m:t>m</m:t>
            </m:r>
            <m:r>
              <m:rPr>
                <m:sty m:val="p"/>
              </m:rPr>
              <m:t>,</m:t>
            </m:r>
            <m:r>
              <m:t>n</m:t>
            </m:r>
          </m:sub>
        </m:sSub>
        <m:r>
          <m:rPr>
            <m:sty m:val="p"/>
          </m:rPr>
          <m:t>=</m:t>
        </m:r>
        <m:r>
          <m:rPr>
            <m:sty m:val="p"/>
          </m:rPr>
          <m:t>−</m:t>
        </m:r>
        <m:r>
          <m:rPr>
            <m:sty m:val="p"/>
          </m:rPr>
          <m:t>∞</m:t>
        </m:r>
      </m:oMath>
      <w:r>
        <w:t xml:space="preserve">, which removes the alignment from the softmax distribution.</w:t>
      </w:r>
    </w:p>
    <w:p>
      <w:pPr>
        <w:pStyle w:val="BodyText"/>
      </w:pPr>
      <w:r>
        <w:rPr>
          <w:bCs/>
          <w:b/>
        </w:rPr>
        <w:t xml:space="preserve">E. Semantic drift objective.</w:t>
      </w:r>
      <w:r>
        <w:t xml:space="preserve"> </w:t>
      </w:r>
      <w:r>
        <w:t xml:space="preserve">Let</w:t>
      </w:r>
      <w:r>
        <w:t xml:space="preserve"> </w:t>
      </w:r>
      <m:oMath>
        <m:sSub>
          <m:e>
            <m:r>
              <m:rPr>
                <m:sty m:val="b"/>
              </m:rPr>
              <m:t>u</m:t>
            </m:r>
          </m:e>
          <m:sub>
            <m:r>
              <m:t>X</m:t>
            </m:r>
          </m:sub>
        </m:sSub>
        <m:r>
          <m:rPr>
            <m:sty m:val="p"/>
          </m:rPr>
          <m:t>∈</m:t>
        </m:r>
        <m:sSup>
          <m:e>
            <m:r>
              <m:rPr>
                <m:sty m:val="p"/>
                <m:scr m:val="double-struck"/>
              </m:rPr>
              <m:t>R</m:t>
            </m:r>
          </m:e>
          <m:sup>
            <m:sSub>
              <m:e>
                <m:r>
                  <m:t>d</m:t>
                </m:r>
              </m:e>
              <m:sub>
                <m:r>
                  <m:t>s</m:t>
                </m:r>
              </m:sub>
            </m:sSub>
          </m:sup>
        </m:sSup>
      </m:oMath>
      <w:r>
        <w:t xml:space="preserve"> </w:t>
      </w:r>
      <w:r>
        <w:t xml:space="preserve">be the contextual embedding of a Sanskrit root and</w:t>
      </w:r>
      <w:r>
        <w:t xml:space="preserve"> </w:t>
      </w:r>
      <m:oMath>
        <m:sSub>
          <m:e>
            <m:r>
              <m:rPr>
                <m:sty m:val="b"/>
              </m:rPr>
              <m:t>v</m:t>
            </m:r>
          </m:e>
          <m:sub>
            <m:r>
              <m:t>Y</m:t>
            </m:r>
          </m:sub>
        </m:sSub>
        <m:r>
          <m:rPr>
            <m:sty m:val="p"/>
          </m:rPr>
          <m:t>∈</m:t>
        </m:r>
        <m:sSup>
          <m:e>
            <m:r>
              <m:rPr>
                <m:sty m:val="p"/>
                <m:scr m:val="double-struck"/>
              </m:rPr>
              <m:t>R</m:t>
            </m:r>
          </m:e>
          <m:sup>
            <m:sSub>
              <m:e>
                <m:r>
                  <m:t>d</m:t>
                </m:r>
              </m:e>
              <m:sub>
                <m:r>
                  <m:t>s</m:t>
                </m:r>
              </m:sub>
            </m:sSub>
          </m:sup>
        </m:sSup>
      </m:oMath>
      <w:r>
        <w:t xml:space="preserve"> </w:t>
      </w:r>
      <w:r>
        <w:t xml:space="preserve">that of its Marathi reflex. Over a mini-batch</w:t>
      </w:r>
      <w:r>
        <w:t xml:space="preserve"> </w:t>
      </w:r>
      <m:oMath>
        <m:r>
          <m:rPr>
            <m:sty m:val="p"/>
            <m:scr m:val="script"/>
          </m:rPr>
          <m:t>B</m:t>
        </m:r>
      </m:oMath>
      <w:r>
        <w:t xml:space="preserve">, an InfoNCE contrastive loss [18] aligns each etymon with its descendant:</w:t>
      </w:r>
    </w:p>
    <w:p>
      <w:pPr>
        <w:keepLines/>
        <w:tabs>
          <w:tab w:val="center" w:pos="2186"/>
          <w:tab w:val="right" w:pos="4873"/>
        </w:tabs>
        <w:spacing w:before="80" w:after="80"/>
        <w:ind w:firstLine="0"/>
        <w:jc w:val="left"/>
      </w:pPr>
      <w:r>
        <w:rPr>
          <w:rFonts w:ascii="Times New Roman" w:hAnsi="Times New Roman"/>
          <w:sz w:val="20"/>
        </w:rPr>
        <w:tab/>
      </w:r>
      <m:oMath>
        <m:sSub>
          <m:e>
            <m:r>
              <m:rPr>
                <m:sty m:val="p"/>
                <m:scr m:val="script"/>
              </m:rPr>
              <m:t>L</m:t>
            </m:r>
          </m:e>
          <m:sub>
            <m:r>
              <m:rPr>
                <m:nor/>
                <m:sty m:val="p"/>
              </m:rPr>
              <m:t>drift</m:t>
            </m:r>
          </m:sub>
        </m:sSub>
        <m:r>
          <m:rPr>
            <m:sty m:val="p"/>
          </m:rPr>
          <m:t>=</m:t>
        </m:r>
        <m:r>
          <m:rPr>
            <m:sty m:val="p"/>
          </m:rPr>
          <m:t>−</m:t>
        </m:r>
        <m:nary>
          <m:naryPr>
            <m:chr m:val="∑"/>
            <m:limLoc m:val="undOvr"/>
            <m:subHide m:val="off"/>
            <m:supHide m:val="on"/>
          </m:naryPr>
          <m:sub>
            <m:r>
              <m:t>i</m:t>
            </m:r>
            <m:r>
              <m:rPr>
                <m:sty m:val="p"/>
              </m:rPr>
              <m:t>∈</m:t>
            </m:r>
            <m:r>
              <m:rPr>
                <m:sty m:val="p"/>
                <m:scr m:val="script"/>
              </m:rPr>
              <m:t>B</m:t>
            </m:r>
          </m:sub>
          <m:sup>
            <m:r>
              <m:t>​</m:t>
            </m:r>
          </m:sup>
          <m:e>
            <m:r>
              <m:rPr>
                <m:sty m:val="p"/>
              </m:rPr>
              <m:t>log</m:t>
            </m:r>
          </m:e>
        </m:nary>
        <m:f>
          <m:fPr>
            <m:type m:val="bar"/>
          </m:fPr>
          <m:num>
            <m:r>
              <m:rPr>
                <m:sty m:val="p"/>
              </m:rPr>
              <m:t>exp</m:t>
            </m:r>
            <m:d>
              <m:dPr>
                <m:begChr m:val="("/>
                <m:endChr m:val=")"/>
                <m:sepChr m:val=""/>
                <m:grow/>
              </m:dPr>
              <m:e>
                <m:r>
                  <m:rPr>
                    <m:nor/>
                    <m:sty m:val="p"/>
                  </m:rPr>
                  <m:t>sim</m:t>
                </m:r>
                <m:d>
                  <m:dPr>
                    <m:begChr m:val="("/>
                    <m:endChr m:val=")"/>
                    <m:sepChr m:val=""/>
                    <m:grow/>
                  </m:dPr>
                  <m:e>
                    <m:sSub>
                      <m:e>
                        <m:r>
                          <m:rPr>
                            <m:sty m:val="b"/>
                          </m:rPr>
                          <m:t>u</m:t>
                        </m:r>
                      </m:e>
                      <m:sub>
                        <m:r>
                          <m:t>i</m:t>
                        </m:r>
                      </m:sub>
                    </m:sSub>
                    <m:r>
                      <m:rPr>
                        <m:sty m:val="p"/>
                      </m:rPr>
                      <m:t>,</m:t>
                    </m:r>
                    <m:sSub>
                      <m:e>
                        <m:r>
                          <m:rPr>
                            <m:sty m:val="b"/>
                          </m:rPr>
                          <m:t>v</m:t>
                        </m:r>
                      </m:e>
                      <m:sub>
                        <m:r>
                          <m:t>i</m:t>
                        </m:r>
                      </m:sub>
                    </m:sSub>
                  </m:e>
                </m:d>
                <m:r>
                  <m:rPr>
                    <m:sty m:val="p"/>
                  </m:rPr>
                  <m:t>/</m:t>
                </m:r>
                <m:r>
                  <m:t>τ</m:t>
                </m:r>
              </m:e>
            </m:d>
          </m:num>
          <m:den>
            <m:nary>
              <m:naryPr>
                <m:chr m:val="∑"/>
                <m:limLoc m:val="undOvr"/>
                <m:subHide m:val="off"/>
                <m:supHide m:val="on"/>
              </m:naryPr>
              <m:sub>
                <m:r>
                  <m:t>j</m:t>
                </m:r>
                <m:r>
                  <m:rPr>
                    <m:sty m:val="p"/>
                  </m:rPr>
                  <m:t>∈</m:t>
                </m:r>
                <m:r>
                  <m:rPr>
                    <m:sty m:val="p"/>
                    <m:scr m:val="script"/>
                  </m:rPr>
                  <m:t>B</m:t>
                </m:r>
              </m:sub>
              <m:sup>
                <m:r>
                  <m:t>​</m:t>
                </m:r>
              </m:sup>
              <m:e>
                <m:r>
                  <m:rPr>
                    <m:sty m:val="p"/>
                  </m:rPr>
                  <m:t>exp</m:t>
                </m:r>
              </m:e>
            </m:nary>
            <m:d>
              <m:dPr>
                <m:begChr m:val="("/>
                <m:endChr m:val=")"/>
                <m:sepChr m:val=""/>
                <m:grow/>
              </m:dPr>
              <m:e>
                <m:r>
                  <m:rPr>
                    <m:nor/>
                    <m:sty m:val="p"/>
                  </m:rPr>
                  <m:t>sim</m:t>
                </m:r>
                <m:d>
                  <m:dPr>
                    <m:begChr m:val="("/>
                    <m:endChr m:val=")"/>
                    <m:sepChr m:val=""/>
                    <m:grow/>
                  </m:dPr>
                  <m:e>
                    <m:sSub>
                      <m:e>
                        <m:r>
                          <m:rPr>
                            <m:sty m:val="b"/>
                          </m:rPr>
                          <m:t>u</m:t>
                        </m:r>
                      </m:e>
                      <m:sub>
                        <m:r>
                          <m:t>i</m:t>
                        </m:r>
                      </m:sub>
                    </m:sSub>
                    <m:r>
                      <m:rPr>
                        <m:sty m:val="p"/>
                      </m:rPr>
                      <m:t>,</m:t>
                    </m:r>
                    <m:sSub>
                      <m:e>
                        <m:r>
                          <m:rPr>
                            <m:sty m:val="b"/>
                          </m:rPr>
                          <m:t>v</m:t>
                        </m:r>
                      </m:e>
                      <m:sub>
                        <m:r>
                          <m:t>j</m:t>
                        </m:r>
                      </m:sub>
                    </m:sSub>
                  </m:e>
                </m:d>
                <m:r>
                  <m:rPr>
                    <m:sty m:val="p"/>
                  </m:rPr>
                  <m:t>/</m:t>
                </m:r>
                <m:r>
                  <m:t>τ</m:t>
                </m:r>
              </m:e>
            </m:d>
          </m:den>
        </m:f>
      </m:oMath>
      <w:r>
        <w:rPr>
          <w:rFonts w:ascii="Times New Roman" w:hAnsi="Times New Roman"/>
          <w:sz w:val="20"/>
        </w:rPr>
        <w:tab/>
      </w:r>
      <w:r>
        <w:rPr>
          <w:rFonts w:ascii="Times New Roman" w:hAnsi="Times New Roman"/>
          <w:sz w:val="20"/>
        </w:rPr>
        <w:t>(11)</w:t>
      </w:r>
    </w:p>
    <w:p>
      <w:pPr>
        <w:pStyle w:val="FirstParagraph"/>
      </w:pPr>
      <w:r>
        <w:t xml:space="preserve">where</w:t>
      </w:r>
      <w:r>
        <w:t xml:space="preserve"> </w:t>
      </w:r>
      <m:oMath>
        <m:r>
          <m:rPr>
            <m:nor/>
            <m:sty m:val="p"/>
          </m:rPr>
          <m:t>sim</m:t>
        </m:r>
        <m:d>
          <m:dPr>
            <m:begChr m:val="("/>
            <m:endChr m:val=")"/>
            <m:sepChr m:val=""/>
            <m:grow/>
          </m:dPr>
          <m:e>
            <m:r>
              <m:rPr>
                <m:sty m:val="b"/>
              </m:rPr>
              <m:t>u</m:t>
            </m:r>
            <m:r>
              <m:rPr>
                <m:sty m:val="p"/>
              </m:rPr>
              <m:t>,</m:t>
            </m:r>
            <m:r>
              <m:rPr>
                <m:sty m:val="b"/>
              </m:rPr>
              <m:t>v</m:t>
            </m:r>
          </m:e>
        </m:d>
        <m:r>
          <m:rPr>
            <m:sty m:val="p"/>
          </m:rPr>
          <m:t>=</m:t>
        </m:r>
        <m:sSup>
          <m:e>
            <m:r>
              <m:rPr>
                <m:sty m:val="b"/>
              </m:rPr>
              <m:t>u</m:t>
            </m:r>
          </m:e>
          <m:sup>
            <m:r>
              <m:rPr>
                <m:sty m:val="p"/>
              </m:rPr>
              <m:t>⊤</m:t>
            </m:r>
          </m:sup>
        </m:sSup>
        <m:r>
          <m:rPr>
            <m:sty m:val="b"/>
          </m:rPr>
          <m:t>v</m:t>
        </m:r>
        <m:r>
          <m:rPr>
            <m:sty m:val="p"/>
          </m:rPr>
          <m:t>/</m:t>
        </m:r>
        <m:d>
          <m:dPr>
            <m:begChr m:val="("/>
            <m:endChr m:val=")"/>
            <m:sepChr m:val=""/>
            <m:grow/>
          </m:dPr>
          <m:e>
            <m:r>
              <m:rPr>
                <m:sty m:val="p"/>
              </m:rPr>
              <m:t>∥</m:t>
            </m:r>
            <m:r>
              <m:rPr>
                <m:sty m:val="b"/>
              </m:rPr>
              <m:t>u</m:t>
            </m:r>
            <m:r>
              <m:rPr>
                <m:sty m:val="p"/>
              </m:rPr>
              <m:t>∥</m:t>
            </m:r>
            <m:r>
              <m:rPr>
                <m:sty m:val="p"/>
              </m:rPr>
              <m:t>∥</m:t>
            </m:r>
            <m:r>
              <m:rPr>
                <m:sty m:val="b"/>
              </m:rPr>
              <m:t>v</m:t>
            </m:r>
            <m:r>
              <m:rPr>
                <m:sty m:val="p"/>
              </m:rPr>
              <m:t>∥</m:t>
            </m:r>
          </m:e>
        </m:d>
      </m:oMath>
      <w:r>
        <w:t xml:space="preserve"> </w:t>
      </w:r>
      <w:r>
        <w:t xml:space="preserve">is cosine similarity and</w:t>
      </w:r>
      <w:r>
        <w:t xml:space="preserve"> </w:t>
      </w:r>
      <m:oMath>
        <m:r>
          <m:t>τ</m:t>
        </m:r>
      </m:oMath>
      <w:r>
        <w:t xml:space="preserve"> </w:t>
      </w:r>
      <w:r>
        <w:t xml:space="preserve">is a learnable temperature.</w:t>
      </w:r>
    </w:p>
    <w:p>
      <w:pPr>
        <w:pStyle w:val="BodyText"/>
      </w:pPr>
      <w:r>
        <w:rPr>
          <w:bCs/>
          <w:b/>
        </w:rPr>
        <w:t xml:space="preserve">F. Composite training loss.</w:t>
      </w:r>
      <w:r>
        <w:t xml:space="preserve"> </w:t>
      </w:r>
      <w:r>
        <w:t xml:space="preserve">Training balances token-level cross-entropy, an articulatory feature divergence term, and the semantic drift term:</w:t>
      </w:r>
    </w:p>
    <w:p>
      <w:pPr>
        <w:keepLines/>
        <w:tabs>
          <w:tab w:val="center" w:pos="2186"/>
          <w:tab w:val="right" w:pos="4873"/>
        </w:tabs>
        <w:spacing w:before="80" w:after="80"/>
        <w:ind w:firstLine="0"/>
        <w:jc w:val="left"/>
      </w:pPr>
      <w:r>
        <w:rPr>
          <w:rFonts w:ascii="Times New Roman" w:hAnsi="Times New Roman"/>
          <w:sz w:val="20"/>
        </w:rPr>
        <w:tab/>
      </w:r>
      <m:oMath>
        <m:sSub>
          <m:e>
            <m:r>
              <m:rPr>
                <m:sty m:val="p"/>
                <m:scr m:val="script"/>
              </m:rPr>
              <m:t>L</m:t>
            </m:r>
          </m:e>
          <m:sub>
            <m:r>
              <m:rPr>
                <m:nor/>
                <m:sty m:val="p"/>
              </m:rPr>
              <m:t>feat</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d>
                  <m:dPr>
                    <m:begChr m:val="∥"/>
                    <m:endChr m:val="∥"/>
                    <m:sepChr m:val=""/>
                    <m:grow/>
                  </m:dPr>
                  <m:e>
                    <m:sSub>
                      <m:e>
                        <m:r>
                          <m:rPr>
                            <m:sty m:val="b"/>
                          </m:rPr>
                          <m:t>f</m:t>
                        </m:r>
                      </m:e>
                      <m:sub>
                        <m:r>
                          <m:rPr>
                            <m:nor/>
                            <m:sty m:val="p"/>
                          </m:rPr>
                          <m:t>art</m:t>
                        </m:r>
                      </m:sub>
                    </m:sSub>
                    <m:d>
                      <m:dPr>
                        <m:begChr m:val="("/>
                        <m:endChr m:val=")"/>
                        <m:sepChr m:val=""/>
                        <m:grow/>
                      </m:dPr>
                      <m:e>
                        <m:sSub>
                          <m:e>
                            <m:acc>
                              <m:accPr>
                                <m:chr m:val="̂"/>
                              </m:accPr>
                              <m:e>
                                <m:r>
                                  <m:t>y</m:t>
                                </m:r>
                              </m:e>
                            </m:acc>
                          </m:e>
                          <m:sub>
                            <m:r>
                              <m:t>m</m:t>
                            </m:r>
                          </m:sub>
                        </m:sSub>
                      </m:e>
                    </m:d>
                    <m:r>
                      <m:rPr>
                        <m:sty m:val="p"/>
                      </m:rPr>
                      <m:t>−</m:t>
                    </m:r>
                    <m:sSub>
                      <m:e>
                        <m:r>
                          <m:rPr>
                            <m:sty m:val="b"/>
                          </m:rPr>
                          <m:t>f</m:t>
                        </m:r>
                      </m:e>
                      <m:sub>
                        <m:r>
                          <m:rPr>
                            <m:nor/>
                            <m:sty m:val="p"/>
                          </m:rPr>
                          <m:t>art</m:t>
                        </m:r>
                      </m:sub>
                    </m:sSub>
                    <m:d>
                      <m:dPr>
                        <m:begChr m:val="("/>
                        <m:endChr m:val=")"/>
                        <m:sepChr m:val=""/>
                        <m:grow/>
                      </m:dPr>
                      <m:e>
                        <m:sSub>
                          <m:e>
                            <m:r>
                              <m:t>y</m:t>
                            </m:r>
                          </m:e>
                          <m:sub>
                            <m:r>
                              <m:t>m</m:t>
                            </m:r>
                          </m:sub>
                        </m:sSub>
                      </m:e>
                    </m:d>
                  </m:e>
                </m:d>
              </m:e>
              <m:sub>
                <m:r>
                  <m:t>2</m:t>
                </m:r>
              </m:sub>
              <m:sup>
                <m:r>
                  <m:t>2</m:t>
                </m:r>
              </m:sup>
            </m:sSubSup>
          </m:e>
        </m:nary>
      </m:oMath>
      <w:r>
        <w:rPr>
          <w:rFonts w:ascii="Times New Roman" w:hAnsi="Times New Roman"/>
          <w:sz w:val="20"/>
        </w:rPr>
        <w:tab/>
      </w:r>
      <w:r>
        <w:rPr>
          <w:rFonts w:ascii="Times New Roman" w:hAnsi="Times New Roman"/>
          <w:sz w:val="20"/>
        </w:rPr>
        <w:t>(12)</w:t>
      </w:r>
    </w:p>
    <w:p>
      <w:pPr>
        <w:keepLines/>
        <w:tabs>
          <w:tab w:val="center" w:pos="2186"/>
          <w:tab w:val="right" w:pos="4873"/>
        </w:tabs>
        <w:spacing w:before="80" w:after="80"/>
        <w:ind w:firstLine="0"/>
        <w:jc w:val="left"/>
      </w:pPr>
      <w:r>
        <w:rPr>
          <w:rFonts w:ascii="Times New Roman" w:hAnsi="Times New Roman"/>
          <w:sz w:val="20"/>
        </w:rPr>
        <w:tab/>
      </w:r>
      <m:oMath>
        <m:sSub>
          <m:e>
            <m:r>
              <m:rPr>
                <m:sty m:val="p"/>
                <m:scr m:val="script"/>
              </m:rPr>
              <m:t>L</m:t>
            </m:r>
          </m:e>
          <m:sub>
            <m:r>
              <m:rPr>
                <m:nor/>
                <m:sty m:val="p"/>
              </m:rPr>
              <m:t>total</m:t>
            </m:r>
          </m:sub>
        </m:sSub>
        <m:r>
          <m:rPr>
            <m:sty m:val="p"/>
          </m:rPr>
          <m:t>=</m:t>
        </m:r>
        <m:sSub>
          <m:e>
            <m:r>
              <m:rPr>
                <m:sty m:val="p"/>
                <m:scr m:val="script"/>
              </m:rPr>
              <m:t>L</m:t>
            </m:r>
          </m:e>
          <m:sub>
            <m:r>
              <m:rPr>
                <m:nor/>
                <m:sty m:val="p"/>
              </m:rPr>
              <m:t>CE</m:t>
            </m:r>
          </m:sub>
        </m:sSub>
        <m:d>
          <m:dPr>
            <m:begChr m:val="("/>
            <m:endChr m:val=")"/>
            <m:sepChr m:val=""/>
            <m:grow/>
          </m:dPr>
          <m:e>
            <m:r>
              <m:t>Y</m:t>
            </m:r>
            <m:r>
              <m:rPr>
                <m:sty m:val="p"/>
              </m:rPr>
              <m:t>,</m:t>
            </m:r>
            <m:acc>
              <m:accPr>
                <m:chr m:val="̂"/>
              </m:accPr>
              <m:e>
                <m:r>
                  <m:t>Y</m:t>
                </m:r>
              </m:e>
            </m:acc>
          </m:e>
        </m:d>
        <m:r>
          <m:rPr>
            <m:sty m:val="p"/>
          </m:rPr>
          <m:t>+</m:t>
        </m:r>
        <m:sSub>
          <m:e>
            <m:r>
              <m:t>λ</m:t>
            </m:r>
          </m:e>
          <m:sub>
            <m:r>
              <m:t>1</m:t>
            </m:r>
          </m:sub>
        </m:sSub>
        <m:sSub>
          <m:e>
            <m:r>
              <m:rPr>
                <m:sty m:val="p"/>
                <m:scr m:val="script"/>
              </m:rPr>
              <m:t>L</m:t>
            </m:r>
          </m:e>
          <m:sub>
            <m:r>
              <m:rPr>
                <m:nor/>
                <m:sty m:val="p"/>
              </m:rPr>
              <m:t>feat</m:t>
            </m:r>
          </m:sub>
        </m:sSub>
        <m:r>
          <m:rPr>
            <m:sty m:val="p"/>
          </m:rPr>
          <m:t>+</m:t>
        </m:r>
        <m:sSub>
          <m:e>
            <m:r>
              <m:t>λ</m:t>
            </m:r>
          </m:e>
          <m:sub>
            <m:r>
              <m:t>2</m:t>
            </m:r>
          </m:sub>
        </m:sSub>
        <m:sSub>
          <m:e>
            <m:r>
              <m:rPr>
                <m:sty m:val="p"/>
                <m:scr m:val="script"/>
              </m:rPr>
              <m:t>L</m:t>
            </m:r>
          </m:e>
          <m:sub>
            <m:r>
              <m:rPr>
                <m:nor/>
                <m:sty m:val="p"/>
              </m:rPr>
              <m:t>drift</m:t>
            </m:r>
          </m:sub>
        </m:sSub>
      </m:oMath>
      <w:r>
        <w:rPr>
          <w:rFonts w:ascii="Times New Roman" w:hAnsi="Times New Roman"/>
          <w:sz w:val="20"/>
        </w:rPr>
        <w:tab/>
      </w:r>
      <w:r>
        <w:rPr>
          <w:rFonts w:ascii="Times New Roman" w:hAnsi="Times New Roman"/>
          <w:sz w:val="20"/>
        </w:rPr>
        <w:t>(13)</w:t>
      </w:r>
    </w:p>
    <w:p>
      <w:pPr>
        <w:pStyle w:val="FirstParagraph"/>
      </w:pPr>
      <w:r>
        <w:t xml:space="preserve">where</w:t>
      </w:r>
      <w:r>
        <w:t xml:space="preserve"> </w:t>
      </w:r>
      <m:oMath>
        <m:sSub>
          <m:e>
            <m:r>
              <m:t>λ</m:t>
            </m:r>
          </m:e>
          <m:sub>
            <m:r>
              <m:t>1</m:t>
            </m:r>
          </m:sub>
        </m:sSub>
      </m:oMath>
      <w:r>
        <w:t xml:space="preserve"> </w:t>
      </w:r>
      <w:r>
        <w:t xml:space="preserve">and</w:t>
      </w:r>
      <w:r>
        <w:t xml:space="preserve"> </w:t>
      </w:r>
      <m:oMath>
        <m:sSub>
          <m:e>
            <m:r>
              <m:t>λ</m:t>
            </m:r>
          </m:e>
          <m:sub>
            <m:r>
              <m:t>2</m:t>
            </m:r>
          </m:sub>
        </m:sSub>
      </m:oMath>
      <w:r>
        <w:t xml:space="preserve"> </w:t>
      </w:r>
      <w:r>
        <w:t xml:space="preserve">weight articulatory accuracy and semantic consistency.</w:t>
      </w:r>
    </w:p>
    <w:p>
      <w:pPr>
        <w:pStyle w:val="BodyText"/>
      </w:pPr>
      <w:r>
        <w:rPr>
          <w:bCs/>
          <w:b/>
        </w:rPr>
        <w:t xml:space="preserve">G. Inference and derivation tracking.</w:t>
      </w:r>
      <w:r>
        <w:t xml:space="preserve"> </w:t>
      </w:r>
      <w:r>
        <w:t xml:space="preserve">Inference runs in five stages. (1) The Sanskrit input is mapped to IPA and PanPhon features and projected to embeddings. (2) The encoder produces contextual states. (3) The rule engine executes a forward pass, deriving Prakrit and Apabhraṃśa hypotheses and building</w:t>
      </w:r>
      <w:r>
        <w:t xml:space="preserve"> </w:t>
      </w:r>
      <m:oMath>
        <m:r>
          <m:rPr>
            <m:sty m:val="b"/>
          </m:rPr>
          <m:t>R</m:t>
        </m:r>
      </m:oMath>
      <w:r>
        <w:t xml:space="preserve">. (4) The decoder generates the Marathi phoneme sequence autoregressively with rule-constrained cross-attention. (5) The explainability module traces decoder attention to specific rule firings and outputs the reflex together with a step-by-step derivation trace</w:t>
      </w:r>
      <w:r>
        <w:t xml:space="preserve"> </w:t>
      </w:r>
      <m:oMath>
        <m:r>
          <m:rPr>
            <m:sty m:val="p"/>
            <m:scr m:val="script"/>
          </m:rPr>
          <m:t>T</m:t>
        </m:r>
      </m:oMath>
      <w:r>
        <w:t xml:space="preserve">.</w:t>
      </w:r>
    </w:p>
    <w:bookmarkEnd w:id="22"/>
    <w:bookmarkStart w:id="26" w:name="iv.-system-architecture-and-design"/>
    <w:p>
      <w:pPr>
        <w:pStyle w:val="Heading1"/>
      </w:pPr>
      <w:r>
        <w:t xml:space="preserve">IV. System Architecture and Design</w:t>
      </w:r>
    </w:p>
    <w:p>
      <w:pPr>
        <w:pStyle w:val="FirstParagraph"/>
      </w:pPr>
      <w:r>
        <w:t xml:space="preserve">The system has four tiers: the Ingestion and Phonetic Feature Layer, the Linguistic Rule Formulation Layer, the Rule-Constrained Neural Core, and the Traceable Explanation Layer (Fig. 1).</w:t>
      </w:r>
    </w:p>
    <w:p>
      <w:pPr>
        <w:pStyle w:val="CaptionedFigure"/>
        <w:jc w:val="center"/>
      </w:pPr>
      <w:r>
        <w:drawing>
          <wp:inline>
            <wp:extent cx="3017520" cy="4033318"/>
            <wp:effectExtent b="0" l="0" r="0" t="0"/>
            <wp:docPr descr="Overall system architecture and data flow." title="" id="24" name="Picture"/>
            <a:graphic>
              <a:graphicData uri="http://schemas.openxmlformats.org/drawingml/2006/picture">
                <pic:pic>
                  <pic:nvPicPr>
                    <pic:cNvPr descr="fig1_arch.png" id="25" name="Picture"/>
                    <pic:cNvPicPr>
                      <a:picLocks noChangeArrowheads="1" noChangeAspect="1"/>
                    </pic:cNvPicPr>
                  </pic:nvPicPr>
                  <pic:blipFill>
                    <a:blip r:embed="rId23"/>
                    <a:stretch>
                      <a:fillRect/>
                    </a:stretch>
                  </pic:blipFill>
                  <pic:spPr bwMode="auto">
                    <a:xfrm>
                      <a:off x="0" y="0"/>
                      <a:ext cx="3017520" cy="4033318"/>
                    </a:xfrm>
                    <a:prstGeom prst="rect">
                      <a:avLst/>
                    </a:prstGeom>
                    <a:noFill/>
                    <a:ln w="9525">
                      <a:noFill/>
                      <a:headEnd/>
                      <a:tailEnd/>
                    </a:ln>
                  </pic:spPr>
                </pic:pic>
              </a:graphicData>
            </a:graphic>
          </wp:inline>
        </w:drawing>
      </w:r>
    </w:p>
    <w:p>
      <w:pPr>
        <w:pStyle w:val="ImageCaption"/>
        <w:jc w:val="center"/>
      </w:pPr>
      <w:r>
        <w:t xml:space="preserve">Overall system architecture and data flow.</w:t>
      </w:r>
    </w:p>
    <w:p>
      <w:pPr>
        <w:pStyle w:val="BodyText"/>
      </w:pPr>
      <w:r>
        <w:rPr>
          <w:bCs/>
          <w:b/>
        </w:rPr>
        <w:t xml:space="preserve">Ingestion and Phonetic Feature Layer.</w:t>
      </w:r>
      <w:r>
        <w:t xml:space="preserve"> </w:t>
      </w:r>
      <w:r>
        <w:t xml:space="preserve">Raw Sanskrit Devanagari entries undergo Unicode NFC normalization to resolve virama and anusvara variants, are converted to IPA streams by a rule-based grapheme-to-phoneme (G2P) converter for Classical Sanskrit, and are linked to 24-dimensional PanPhon vectors. Downstream modules therefore operate on phonetic features rather than orthography.</w:t>
      </w:r>
    </w:p>
    <w:p>
      <w:pPr>
        <w:pStyle w:val="BodyText"/>
      </w:pPr>
      <w:r>
        <w:rPr>
          <w:bCs/>
          <w:b/>
        </w:rPr>
        <w:t xml:space="preserve">Linguistic Rule Formulation Layer.</w:t>
      </w:r>
      <w:r>
        <w:t xml:space="preserve"> </w:t>
      </w:r>
      <w:r>
        <w:t xml:space="preserve">A compiled bank of deterministic finite-state rewrite rules applies the sound laws in sequence, simulating lenition, cluster assimilation, degemination, compensatory lengthening, and vowel shifts. It emits two outputs: intermediate Prakrit and Apabhraṃśa hypotheses, and the transition prior matrix</w:t>
      </w:r>
      <w:r>
        <w:t xml:space="preserve"> </w:t>
      </w:r>
      <m:oMath>
        <m:r>
          <m:rPr>
            <m:sty m:val="b"/>
          </m:rPr>
          <m:t>R</m:t>
        </m:r>
      </m:oMath>
      <w:r>
        <w:t xml:space="preserve"> </w:t>
      </w:r>
      <w:r>
        <w:t xml:space="preserve">that supplies log-penalties to the decoder.</w:t>
      </w:r>
    </w:p>
    <w:p>
      <w:pPr>
        <w:pStyle w:val="BodyText"/>
      </w:pPr>
      <w:r>
        <w:rPr>
          <w:bCs/>
          <w:b/>
        </w:rPr>
        <w:t xml:space="preserve">Rule-Constrained Neural Core.</w:t>
      </w:r>
      <w:r>
        <w:t xml:space="preserve"> </w:t>
      </w:r>
      <w:r>
        <w:t xml:space="preserve">A multi-layer bidirectional Transformer encoder converts the articulatory-projected source into contextual vectors. An autoregressive decoder generates the Marathi phoneme sequence with cross-attention heads biased by</w:t>
      </w:r>
      <w:r>
        <w:t xml:space="preserve"> </w:t>
      </w:r>
      <m:oMath>
        <m:r>
          <m:rPr>
            <m:sty m:val="b"/>
          </m:rPr>
          <m:t>R</m:t>
        </m:r>
      </m:oMath>
      <w:r>
        <w:t xml:space="preserve">. In parallel, a contrastive projection head computes semantic drift representations with the InfoNCE loss.</w:t>
      </w:r>
    </w:p>
    <w:p>
      <w:pPr>
        <w:pStyle w:val="BodyText"/>
      </w:pPr>
      <w:r>
        <w:rPr>
          <w:bCs/>
          <w:b/>
        </w:rPr>
        <w:t xml:space="preserve">Traceable Explanation Layer.</w:t>
      </w:r>
      <w:r>
        <w:t xml:space="preserve"> </w:t>
      </w:r>
      <w:r>
        <w:t xml:space="preserve">As the decoder selects phonemes, this layer records active attention weights and matches them to rule identifiers from the symbolic engine. The phoneme stream is converted to Modern Marathi Devanagari through an inverted G2P mapping, and the final output contains both the reflex and a derivation log of every intermediate stage and applied sound law.</w:t>
      </w:r>
    </w:p>
    <w:p>
      <w:pPr>
        <w:pStyle w:val="TableCaption"/>
        <w:keepNext/>
        <w:spacing w:before="120" w:after="60"/>
        <w:ind w:firstLine="0"/>
        <w:jc w:val="center"/>
      </w:pPr>
      <w:r>
        <w:rPr>
          <w:rFonts w:ascii="Times New Roman" w:hAnsi="Times New Roman"/>
          <w:i w:val="0"/>
          <w:smallCaps/>
          <w:sz w:val="16"/>
        </w:rPr>
        <w:t xml:space="preserve">TABLE II</w:t>
      </w:r>
      <w:r>
        <w:rPr>
          <w:rFonts w:ascii="Times New Roman" w:hAnsi="Times New Roman"/>
          <w:i w:val="0"/>
          <w:smallCaps/>
          <w:sz w:val="16"/>
        </w:rPr>
        <w:br/>
      </w:r>
      <w:r>
        <w:rPr>
          <w:rFonts w:ascii="Times New Roman" w:hAnsi="Times New Roman"/>
          <w:i w:val="0"/>
          <w:smallCaps/>
          <w:sz w:val="16"/>
        </w:rPr>
        <w:t xml:space="preserve">System Modules and Their Roles</w:t>
      </w:r>
    </w:p>
    <w:tbl>
      <w:tblPr>
        <w:tblW w:w="4873" w:type="dxa"/>
        <w:tblBorders>
          <w:top w:val="single" w:sz="8" w:space="0" w:color="000000"/>
          <w:bottom w:val="single" w:sz="8" w:space="0" w:color="000000"/>
          <w:insideH w:val="single" w:sz="2" w:space="0" w:color="999999"/>
        </w:tblBorders>
        <w:tblLayout w:type="fixed"/>
        <w:tblCellMar>
          <w:top w:w="20" w:type="dxa"/>
          <w:left w:w="50" w:type="dxa"/>
          <w:bottom w:w="20" w:type="dxa"/>
          <w:right w:w="50" w:type="dxa"/>
        </w:tblCellMar>
      </w:tblPr>
      <w:tblGrid>
        <w:gridCol w:w="1315"/>
        <w:gridCol w:w="2192"/>
        <w:gridCol w:w="1366"/>
      </w:tblGrid>
      <w:tr>
        <w:trPr>
          <w:tblHeader w:val="true"/>
        </w:trPr>
        <w:tc>
          <w:tcPr>
            <w:tcW w:w="1315" w:type="dxa"/>
            <w:tcBorders>
              <w:bottom w:val="single" w:sz="6" w:space="0" w:color="000000"/>
            </w:tcBorders>
          </w:tcPr>
          <w:p>
            <w:pPr>
              <w:pStyle w:val="Compact"/>
              <w:keepNext/>
              <w:spacing w:before="0" w:after="0"/>
              <w:ind w:firstLine="0"/>
            </w:pPr>
            <w:r>
              <w:rPr>
                <w:b/>
                <w:sz w:val="16"/>
              </w:rPr>
              <w:t xml:space="preserve">Module</w:t>
            </w:r>
          </w:p>
        </w:tc>
        <w:tc>
          <w:tcPr>
            <w:tcW w:w="2192" w:type="dxa"/>
            <w:tcBorders>
              <w:bottom w:val="single" w:sz="6" w:space="0" w:color="000000"/>
            </w:tcBorders>
          </w:tcPr>
          <w:p>
            <w:pPr>
              <w:pStyle w:val="Compact"/>
              <w:keepNext/>
              <w:spacing w:before="0" w:after="0"/>
              <w:ind w:firstLine="0"/>
            </w:pPr>
            <w:r>
              <w:rPr>
                <w:b/>
                <w:sz w:val="16"/>
              </w:rPr>
              <w:t xml:space="preserve">Core processing</w:t>
            </w:r>
          </w:p>
        </w:tc>
        <w:tc>
          <w:tcPr>
            <w:tcW w:w="1366" w:type="dxa"/>
            <w:tcBorders>
              <w:bottom w:val="single" w:sz="6" w:space="0" w:color="000000"/>
            </w:tcBorders>
          </w:tcPr>
          <w:p>
            <w:pPr>
              <w:pStyle w:val="Compact"/>
              <w:keepNext/>
              <w:spacing w:before="0" w:after="0"/>
              <w:ind w:firstLine="0"/>
            </w:pPr>
            <w:r>
              <w:rPr>
                <w:b/>
                <w:sz w:val="16"/>
              </w:rPr>
              <w:t xml:space="preserve">Output</w:t>
            </w:r>
          </w:p>
        </w:tc>
      </w:tr>
      <w:tr>
        <w:tc>
          <w:tcPr>
            <w:tcW w:w="1315" w:type="dxa"/>
          </w:tcPr>
          <w:p>
            <w:pPr>
              <w:pStyle w:val="Compact"/>
              <w:keepNext/>
              <w:spacing w:before="0" w:after="0"/>
              <w:ind w:firstLine="0"/>
            </w:pPr>
            <w:r>
              <w:rPr>
                <w:sz w:val="16"/>
              </w:rPr>
              <w:t xml:space="preserve">MOD-01 Normalizer and IPA tokenizer</w:t>
            </w:r>
          </w:p>
        </w:tc>
        <w:tc>
          <w:tcPr>
            <w:tcW w:w="2192" w:type="dxa"/>
          </w:tcPr>
          <w:p>
            <w:pPr>
              <w:pStyle w:val="Compact"/>
              <w:keepNext/>
              <w:spacing w:before="0" w:after="0"/>
              <w:ind w:firstLine="0"/>
            </w:pPr>
            <w:r>
              <w:rPr>
                <w:sz w:val="16"/>
              </w:rPr>
              <w:t xml:space="preserve">NFC normalization, virama resolution, rule-based G2P</w:t>
            </w:r>
          </w:p>
        </w:tc>
        <w:tc>
          <w:tcPr>
            <w:tcW w:w="1366" w:type="dxa"/>
          </w:tcPr>
          <w:p>
            <w:pPr>
              <w:pStyle w:val="Compact"/>
              <w:keepNext/>
              <w:spacing w:before="0" w:after="0"/>
              <w:ind w:firstLine="0"/>
            </w:pPr>
            <w:r>
              <w:rPr>
                <w:sz w:val="16"/>
              </w:rPr>
              <w:t xml:space="preserve">IPA stream</w:t>
            </w:r>
            <w:r>
              <w:rPr>
                <w:sz w:val="16"/>
              </w:rPr>
              <w:t xml:space="preserve"> </w:t>
            </w:r>
            <m:oMath>
              <m:r>
                <m:t>X</m:t>
              </m:r>
            </m:oMath>
            <w:r>
              <w:rPr>
                <w:sz w:val="16"/>
              </w:rPr>
              <w:t xml:space="preserve">, feature matrix</w:t>
            </w:r>
            <w:r>
              <w:rPr>
                <w:sz w:val="16"/>
              </w:rPr>
              <w:t xml:space="preserve"> </w:t>
            </w:r>
            <m:oMath>
              <m:sSub>
                <m:e>
                  <m:r>
                    <m:rPr>
                      <m:sty m:val="b"/>
                    </m:rPr>
                    <m:t>F</m:t>
                  </m:r>
                </m:e>
                <m:sub>
                  <m:r>
                    <m:rPr>
                      <m:nor/>
                      <m:sty m:val="p"/>
                    </m:rPr>
                    <m:t>art</m:t>
                  </m:r>
                </m:sub>
              </m:sSub>
            </m:oMath>
          </w:p>
        </w:tc>
      </w:tr>
      <w:tr>
        <w:tc>
          <w:tcPr>
            <w:tcW w:w="1315" w:type="dxa"/>
          </w:tcPr>
          <w:p>
            <w:pPr>
              <w:pStyle w:val="Compact"/>
              <w:keepNext/>
              <w:spacing w:before="0" w:after="0"/>
              <w:ind w:firstLine="0"/>
            </w:pPr>
            <w:r>
              <w:rPr>
                <w:sz w:val="16"/>
              </w:rPr>
              <w:t xml:space="preserve">MOD-02 Rule engine (FST)</w:t>
            </w:r>
          </w:p>
        </w:tc>
        <w:tc>
          <w:tcPr>
            <w:tcW w:w="2192" w:type="dxa"/>
          </w:tcPr>
          <w:p>
            <w:pPr>
              <w:pStyle w:val="Compact"/>
              <w:keepNext/>
              <w:spacing w:before="0" w:after="0"/>
              <w:ind w:firstLine="0"/>
            </w:pPr>
            <w:r>
              <w:rPr>
                <w:sz w:val="16"/>
              </w:rPr>
              <w:t xml:space="preserve">Finite-state transducers for lenition, gemination, lengthening, vowel shift</w:t>
            </w:r>
          </w:p>
        </w:tc>
        <w:tc>
          <w:tcPr>
            <w:tcW w:w="1366" w:type="dxa"/>
          </w:tcPr>
          <w:p>
            <w:pPr>
              <w:pStyle w:val="Compact"/>
              <w:keepNext/>
              <w:spacing w:before="0" w:after="0"/>
              <w:ind w:firstLine="0"/>
            </w:pPr>
            <w:r>
              <w:rPr>
                <w:sz w:val="16"/>
              </w:rPr>
              <w:t xml:space="preserve">Hypotheses</w:t>
            </w:r>
            <w:r>
              <w:rPr>
                <w:sz w:val="16"/>
              </w:rPr>
              <w:t xml:space="preserve"> </w:t>
            </w:r>
            <m:oMath>
              <m:sSup>
                <m:e>
                  <m:r>
                    <m:t>Z</m:t>
                  </m:r>
                </m:e>
                <m:sup>
                  <m:d>
                    <m:dPr>
                      <m:begChr m:val="("/>
                      <m:endChr m:val=")"/>
                      <m:sepChr m:val=""/>
                      <m:grow/>
                    </m:dPr>
                    <m:e>
                      <m:r>
                        <m:t>1</m:t>
                      </m:r>
                    </m:e>
                  </m:d>
                </m:sup>
              </m:sSup>
              <m:r>
                <m:rPr>
                  <m:sty m:val="p"/>
                </m:rPr>
                <m:t>,</m:t>
              </m:r>
              <m:sSup>
                <m:e>
                  <m:r>
                    <m:t>Z</m:t>
                  </m:r>
                </m:e>
                <m:sup>
                  <m:d>
                    <m:dPr>
                      <m:begChr m:val="("/>
                      <m:endChr m:val=")"/>
                      <m:sepChr m:val=""/>
                      <m:grow/>
                    </m:dPr>
                    <m:e>
                      <m:r>
                        <m:t>2</m:t>
                      </m:r>
                    </m:e>
                  </m:d>
                </m:sup>
              </m:sSup>
            </m:oMath>
            <w:r>
              <w:rPr>
                <w:sz w:val="16"/>
              </w:rPr>
              <w:t xml:space="preserve">; prior</w:t>
            </w:r>
            <w:r>
              <w:rPr>
                <w:sz w:val="16"/>
              </w:rPr>
              <w:t xml:space="preserve"> </w:t>
            </w:r>
            <m:oMath>
              <m:r>
                <m:rPr>
                  <m:sty m:val="b"/>
                </m:rPr>
                <m:t>R</m:t>
              </m:r>
            </m:oMath>
          </w:p>
        </w:tc>
      </w:tr>
      <w:tr>
        <w:tc>
          <w:tcPr>
            <w:tcW w:w="1315" w:type="dxa"/>
          </w:tcPr>
          <w:p>
            <w:pPr>
              <w:pStyle w:val="Compact"/>
              <w:keepNext/>
              <w:spacing w:before="0" w:after="0"/>
              <w:ind w:firstLine="0"/>
            </w:pPr>
            <w:r>
              <w:rPr>
                <w:sz w:val="16"/>
              </w:rPr>
              <w:t xml:space="preserve">MOD-03 Transformer encoder</w:t>
            </w:r>
          </w:p>
        </w:tc>
        <w:tc>
          <w:tcPr>
            <w:tcW w:w="2192" w:type="dxa"/>
          </w:tcPr>
          <w:p>
            <w:pPr>
              <w:pStyle w:val="Compact"/>
              <w:keepNext/>
              <w:spacing w:before="0" w:after="0"/>
              <w:ind w:firstLine="0"/>
            </w:pPr>
            <w:r>
              <w:rPr>
                <w:sz w:val="16"/>
              </w:rPr>
              <w:t xml:space="preserve">Bidirectional self-attention over phonetic context</w:t>
            </w:r>
          </w:p>
        </w:tc>
        <w:tc>
          <w:tcPr>
            <w:tcW w:w="1366" w:type="dxa"/>
          </w:tcPr>
          <w:p>
            <w:pPr>
              <w:pStyle w:val="Compact"/>
              <w:keepNext/>
              <w:spacing w:before="0" w:after="0"/>
              <w:ind w:firstLine="0"/>
            </w:pPr>
            <w:r>
              <w:rPr>
                <w:sz w:val="16"/>
              </w:rPr>
              <w:t xml:space="preserve">Encoder states</w:t>
            </w:r>
            <w:r>
              <w:rPr>
                <w:sz w:val="16"/>
              </w:rPr>
              <w:t xml:space="preserve"> </w:t>
            </w:r>
            <m:oMath>
              <m:r>
                <m:rPr>
                  <m:sty m:val="b"/>
                </m:rPr>
                <m:t>H</m:t>
              </m:r>
            </m:oMath>
          </w:p>
        </w:tc>
      </w:tr>
      <w:tr>
        <w:tc>
          <w:tcPr>
            <w:tcW w:w="1315" w:type="dxa"/>
          </w:tcPr>
          <w:p>
            <w:pPr>
              <w:pStyle w:val="Compact"/>
              <w:keepNext/>
              <w:spacing w:before="0" w:after="0"/>
              <w:ind w:firstLine="0"/>
            </w:pPr>
            <w:r>
              <w:rPr>
                <w:sz w:val="16"/>
              </w:rPr>
              <w:t xml:space="preserve">MOD-04 Rule-guided decoder</w:t>
            </w:r>
          </w:p>
        </w:tc>
        <w:tc>
          <w:tcPr>
            <w:tcW w:w="2192" w:type="dxa"/>
          </w:tcPr>
          <w:p>
            <w:pPr>
              <w:pStyle w:val="Compact"/>
              <w:keepNext/>
              <w:spacing w:before="0" w:after="0"/>
              <w:ind w:firstLine="0"/>
            </w:pPr>
            <w:r>
              <w:rPr>
                <w:sz w:val="16"/>
              </w:rPr>
              <w:t xml:space="preserve">Autoregressive decoding, cross-attention biased by</w:t>
            </w:r>
            <w:r>
              <w:rPr>
                <w:sz w:val="16"/>
              </w:rPr>
              <w:t xml:space="preserve"> </w:t>
            </w:r>
            <m:oMath>
              <m:r>
                <m:rPr>
                  <m:sty m:val="b"/>
                </m:rPr>
                <m:t>R</m:t>
              </m:r>
            </m:oMath>
          </w:p>
        </w:tc>
        <w:tc>
          <w:tcPr>
            <w:tcW w:w="1366" w:type="dxa"/>
          </w:tcPr>
          <w:p>
            <w:pPr>
              <w:pStyle w:val="Compact"/>
              <w:keepNext/>
              <w:spacing w:before="0" w:after="0"/>
              <w:ind w:firstLine="0"/>
            </w:pPr>
            <w:r>
              <w:rPr>
                <w:sz w:val="16"/>
              </w:rPr>
              <w:t xml:space="preserve">Predicted sequence</w:t>
            </w:r>
            <w:r>
              <w:rPr>
                <w:sz w:val="16"/>
              </w:rPr>
              <w:t xml:space="preserve"> </w:t>
            </w:r>
            <m:oMath>
              <m:acc>
                <m:accPr>
                  <m:chr m:val="̂"/>
                </m:accPr>
                <m:e>
                  <m:r>
                    <m:t>Y</m:t>
                  </m:r>
                </m:e>
              </m:acc>
            </m:oMath>
          </w:p>
        </w:tc>
      </w:tr>
      <w:tr>
        <w:tc>
          <w:tcPr>
            <w:tcW w:w="1315" w:type="dxa"/>
          </w:tcPr>
          <w:p>
            <w:pPr>
              <w:pStyle w:val="Compact"/>
              <w:keepNext/>
              <w:spacing w:before="0" w:after="0"/>
              <w:ind w:firstLine="0"/>
            </w:pPr>
            <w:r>
              <w:rPr>
                <w:sz w:val="16"/>
              </w:rPr>
              <w:t xml:space="preserve">MOD-05 Semantic projector</w:t>
            </w:r>
          </w:p>
        </w:tc>
        <w:tc>
          <w:tcPr>
            <w:tcW w:w="2192" w:type="dxa"/>
          </w:tcPr>
          <w:p>
            <w:pPr>
              <w:pStyle w:val="Compact"/>
              <w:keepNext/>
              <w:spacing w:before="0" w:after="0"/>
              <w:ind w:firstLine="0"/>
            </w:pPr>
            <w:r>
              <w:rPr>
                <w:sz w:val="16"/>
              </w:rPr>
              <w:t xml:space="preserve">Dual-encoder projection trained with InfoNCE</w:t>
            </w:r>
          </w:p>
        </w:tc>
        <w:tc>
          <w:tcPr>
            <w:tcW w:w="1366" w:type="dxa"/>
          </w:tcPr>
          <w:p>
            <w:pPr>
              <w:pStyle w:val="Compact"/>
              <w:keepNext/>
              <w:spacing w:before="0" w:after="0"/>
              <w:ind w:firstLine="0"/>
            </w:pPr>
            <w:r>
              <w:rPr>
                <w:sz w:val="16"/>
              </w:rPr>
              <w:t xml:space="preserve">Drift score, aligned vectors</w:t>
            </w:r>
          </w:p>
        </w:tc>
      </w:tr>
      <w:tr>
        <w:tc>
          <w:tcPr>
            <w:tcW w:w="1315" w:type="dxa"/>
          </w:tcPr>
          <w:p>
            <w:pPr>
              <w:pStyle w:val="Compact"/>
              <w:spacing w:before="0" w:after="0"/>
              <w:ind w:firstLine="0"/>
            </w:pPr>
            <w:r>
              <w:rPr>
                <w:sz w:val="16"/>
              </w:rPr>
              <w:t xml:space="preserve">MOD-06 Derivation auditor</w:t>
            </w:r>
          </w:p>
        </w:tc>
        <w:tc>
          <w:tcPr>
            <w:tcW w:w="2192" w:type="dxa"/>
          </w:tcPr>
          <w:p>
            <w:pPr>
              <w:pStyle w:val="Compact"/>
              <w:spacing w:before="0" w:after="0"/>
              <w:ind w:firstLine="0"/>
            </w:pPr>
            <w:r>
              <w:rPr>
                <w:sz w:val="16"/>
              </w:rPr>
              <w:t xml:space="preserve">Aligns attention with rule-firing logs</w:t>
            </w:r>
          </w:p>
        </w:tc>
        <w:tc>
          <w:tcPr>
            <w:tcW w:w="1366" w:type="dxa"/>
          </w:tcPr>
          <w:p>
            <w:pPr>
              <w:pStyle w:val="Compact"/>
              <w:spacing w:before="0" w:after="0"/>
              <w:ind w:firstLine="0"/>
            </w:pPr>
            <w:r>
              <w:rPr>
                <w:sz w:val="16"/>
              </w:rPr>
              <w:t xml:space="preserve">Trace</w:t>
            </w:r>
            <w:r>
              <w:rPr>
                <w:sz w:val="16"/>
              </w:rPr>
              <w:t xml:space="preserve"> </w:t>
            </w:r>
            <m:oMath>
              <m:r>
                <m:rPr>
                  <m:sty m:val="p"/>
                  <m:scr m:val="script"/>
                </m:rPr>
                <m:t>T</m:t>
              </m:r>
            </m:oMath>
            <w:r>
              <w:rPr>
                <w:sz w:val="16"/>
              </w:rPr>
              <w:t xml:space="preserve"> </w:t>
            </w:r>
            <w:r>
              <w:rPr>
                <w:sz w:val="16"/>
              </w:rPr>
              <w:t xml:space="preserve">and Devanagari form</w:t>
            </w:r>
          </w:p>
        </w:tc>
      </w:tr>
    </w:tbl>
    <w:p>
      <w:pPr>
        <w:pStyle w:val="BodyText"/>
      </w:pPr>
      <w:r>
        <w:t xml:space="preserve">During inference the root is normalized and converted to IPA in MOD-01 and then processed in parallel by MOD-02 and MOD-03. MOD-04 merges their outputs to decode the target sequence, MOD-05 checks semantic consistency, and MOD-06 correlates decoder alignments with rule logs to emit the reflex and its complete derivation trace.</w:t>
      </w:r>
    </w:p>
    <w:bookmarkEnd w:id="26"/>
    <w:bookmarkStart w:id="27" w:name="v.-implementation"/>
    <w:p>
      <w:pPr>
        <w:pStyle w:val="Heading1"/>
      </w:pPr>
      <w:r>
        <w:t xml:space="preserve">V. Implementation</w:t>
      </w:r>
    </w:p>
    <w:p>
      <w:pPr>
        <w:pStyle w:val="FirstParagraph"/>
      </w:pPr>
      <w:r>
        <w:rPr>
          <w:bCs/>
          <w:b/>
        </w:rPr>
        <w:t xml:space="preserve">A. Technology stack.</w:t>
      </w:r>
      <w:r>
        <w:t xml:space="preserve"> </w:t>
      </w:r>
      <w:r>
        <w:t xml:space="preserve">The framework is implemented in Python 3.11 with PyTorch 2.3 [19] and Hugging Face Transformers [20], using PyTorch Lightning for training management. Articulatory features come from the PanPhon library [16], and G2P conversion for Classical Sanskrit uses customized Epitran backends [21]. Devanagari–IAST transliteration and normalization use the IndicNLP Library [22]. Contrastive semantic embeddings are initialized from fastText [23] models trained on Sanskrit text collections and the Marathi IndicCorp dataset [24], then refined through learned linear projection heads. Cognate sets, rule tables, and derivations are stored in PostgreSQL with JSONB indexing.</w:t>
      </w:r>
    </w:p>
    <w:p>
      <w:pPr>
        <w:pStyle w:val="BodyText"/>
      </w:pPr>
      <w:r>
        <w:rPr>
          <w:bCs/>
          <w:b/>
        </w:rPr>
        <w:t xml:space="preserve">B. Dataset.</w:t>
      </w:r>
      <w:r>
        <w:t xml:space="preserve"> </w:t>
      </w:r>
      <w:r>
        <w:t xml:space="preserve">Because no machine-readable Sanskrit-to-Marathi diachronic dataset exists, a corpus was curated from Turner’s CDIAL [3], Bloch’s</w:t>
      </w:r>
      <w:r>
        <w:t xml:space="preserve"> </w:t>
      </w:r>
      <w:r>
        <w:rPr>
          <w:iCs/>
          <w:i/>
        </w:rPr>
        <w:t xml:space="preserve">The Formation of the Marathi Language</w:t>
      </w:r>
      <w:r>
        <w:t xml:space="preserve"> </w:t>
      </w:r>
      <w:r>
        <w:t xml:space="preserve">[2], and Molesworth’s</w:t>
      </w:r>
      <w:r>
        <w:t xml:space="preserve"> </w:t>
      </w:r>
      <w:r>
        <w:rPr>
          <w:iCs/>
          <w:i/>
        </w:rPr>
        <w:t xml:space="preserve">Marathi-English Dictionary</w:t>
      </w:r>
      <w:r>
        <w:t xml:space="preserve"> </w:t>
      </w:r>
      <w:r>
        <w:t xml:space="preserve">[25]. Table III summarizes the 12,500 cognate pairs and the 80/10/10 split. Representative pairs include</w:t>
      </w:r>
      <w:r>
        <w:t xml:space="preserve"> </w:t>
      </w:r>
      <w:r>
        <w:rPr>
          <w:iCs/>
          <w:i/>
        </w:rPr>
        <w:t xml:space="preserve">adya</w:t>
      </w:r>
      <w:r>
        <w:t xml:space="preserve"> </w:t>
      </w:r>
      <w:r>
        <w:t xml:space="preserve">→</w:t>
      </w:r>
      <w:r>
        <w:t xml:space="preserve"> </w:t>
      </w:r>
      <w:r>
        <w:rPr>
          <w:iCs/>
          <w:i/>
        </w:rPr>
        <w:t xml:space="preserve">āj</w:t>
      </w:r>
      <w:r>
        <w:t xml:space="preserve"> </w:t>
      </w:r>
      <w:r>
        <w:t xml:space="preserve">and</w:t>
      </w:r>
      <w:r>
        <w:t xml:space="preserve"> </w:t>
      </w:r>
      <w:r>
        <w:rPr>
          <w:iCs/>
          <w:i/>
        </w:rPr>
        <w:t xml:space="preserve">karpaṭa</w:t>
      </w:r>
      <w:r>
        <w:t xml:space="preserve"> </w:t>
      </w:r>
      <w:r>
        <w:t xml:space="preserve">→</w:t>
      </w:r>
      <w:r>
        <w:t xml:space="preserve"> </w:t>
      </w:r>
      <w:r>
        <w:rPr>
          <w:iCs/>
          <w:i/>
        </w:rPr>
        <w:t xml:space="preserve">kāpaḍ</w:t>
      </w:r>
      <w:r>
        <w:t xml:space="preserve"> </w:t>
      </w:r>
      <w:r>
        <w:t xml:space="preserve">(regular sound change),</w:t>
      </w:r>
      <w:r>
        <w:t xml:space="preserve"> </w:t>
      </w:r>
      <w:r>
        <w:rPr>
          <w:iCs/>
          <w:i/>
        </w:rPr>
        <w:t xml:space="preserve">kṣetra</w:t>
      </w:r>
      <w:r>
        <w:t xml:space="preserve"> </w:t>
      </w:r>
      <w:r>
        <w:t xml:space="preserve">→</w:t>
      </w:r>
      <w:r>
        <w:t xml:space="preserve"> </w:t>
      </w:r>
      <w:r>
        <w:rPr>
          <w:iCs/>
          <w:i/>
        </w:rPr>
        <w:t xml:space="preserve">shet</w:t>
      </w:r>
      <w:r>
        <w:t xml:space="preserve"> </w:t>
      </w:r>
      <w:r>
        <w:t xml:space="preserve">(cluster reduction),</w:t>
      </w:r>
      <w:r>
        <w:t xml:space="preserve"> </w:t>
      </w:r>
      <w:r>
        <w:rPr>
          <w:iCs/>
          <w:i/>
        </w:rPr>
        <w:t xml:space="preserve">karma</w:t>
      </w:r>
      <w:r>
        <w:t xml:space="preserve"> </w:t>
      </w:r>
      <w:r>
        <w:t xml:space="preserve">→</w:t>
      </w:r>
      <w:r>
        <w:t xml:space="preserve"> </w:t>
      </w:r>
      <w:r>
        <w:rPr>
          <w:iCs/>
          <w:i/>
        </w:rPr>
        <w:t xml:space="preserve">karma</w:t>
      </w:r>
      <w:r>
        <w:t xml:space="preserve"> </w:t>
      </w:r>
      <w:r>
        <w:t xml:space="preserve">(phonologically adapted tatsama), and</w:t>
      </w:r>
      <w:r>
        <w:t xml:space="preserve"> </w:t>
      </w:r>
      <w:r>
        <w:rPr>
          <w:iCs/>
          <w:i/>
        </w:rPr>
        <w:t xml:space="preserve">ghoṭaka</w:t>
      </w:r>
      <w:r>
        <w:t xml:space="preserve"> </w:t>
      </w:r>
      <w:r>
        <w:t xml:space="preserve">→</w:t>
      </w:r>
      <w:r>
        <w:t xml:space="preserve"> </w:t>
      </w:r>
      <w:r>
        <w:rPr>
          <w:iCs/>
          <w:i/>
        </w:rPr>
        <w:t xml:space="preserve">ghoḍā</w:t>
      </w:r>
      <w:r>
        <w:t xml:space="preserve"> </w:t>
      </w:r>
      <w:r>
        <w:t xml:space="preserve">(substrate-interacting).</w:t>
      </w:r>
    </w:p>
    <w:p>
      <w:pPr>
        <w:pStyle w:val="TableCaption"/>
        <w:keepNext/>
        <w:spacing w:before="120" w:after="60"/>
        <w:ind w:firstLine="0"/>
        <w:jc w:val="center"/>
      </w:pPr>
      <w:r>
        <w:rPr>
          <w:rFonts w:ascii="Times New Roman" w:hAnsi="Times New Roman"/>
          <w:i w:val="0"/>
          <w:smallCaps/>
          <w:sz w:val="16"/>
        </w:rPr>
        <w:t xml:space="preserve">TABLE III</w:t>
      </w:r>
      <w:r>
        <w:rPr>
          <w:rFonts w:ascii="Times New Roman" w:hAnsi="Times New Roman"/>
          <w:i w:val="0"/>
          <w:smallCaps/>
          <w:sz w:val="16"/>
        </w:rPr>
        <w:br/>
      </w:r>
      <w:r>
        <w:rPr>
          <w:rFonts w:ascii="Times New Roman" w:hAnsi="Times New Roman"/>
          <w:i w:val="0"/>
          <w:smallCaps/>
          <w:sz w:val="16"/>
        </w:rPr>
        <w:t xml:space="preserve">Curated Sanskrit–Marathi Benchmark Dataset</w:t>
      </w:r>
    </w:p>
    <w:tbl>
      <w:tblPr>
        <w:tblW w:w="4873" w:type="dxa"/>
        <w:tblBorders>
          <w:top w:val="single" w:sz="8" w:space="0" w:color="000000"/>
          <w:bottom w:val="single" w:sz="8" w:space="0" w:color="000000"/>
          <w:insideH w:val="single" w:sz="2" w:space="0" w:color="999999"/>
        </w:tblBorders>
        <w:tblLayout w:type="fixed"/>
        <w:tblCellMar>
          <w:top w:w="20" w:type="dxa"/>
          <w:left w:w="50" w:type="dxa"/>
          <w:bottom w:w="20" w:type="dxa"/>
          <w:right w:w="50" w:type="dxa"/>
        </w:tblCellMar>
      </w:tblPr>
      <w:tblGrid>
        <w:gridCol w:w="1949"/>
        <w:gridCol w:w="730"/>
        <w:gridCol w:w="730"/>
        <w:gridCol w:w="730"/>
        <w:gridCol w:w="734"/>
      </w:tblGrid>
      <w:tr>
        <w:trPr>
          <w:tblHeader w:val="true"/>
        </w:trPr>
        <w:tc>
          <w:tcPr>
            <w:tcW w:w="1949" w:type="dxa"/>
            <w:tcBorders>
              <w:bottom w:val="single" w:sz="6" w:space="0" w:color="000000"/>
            </w:tcBorders>
          </w:tcPr>
          <w:p>
            <w:pPr>
              <w:pStyle w:val="Compact"/>
              <w:keepNext/>
              <w:spacing w:before="0" w:after="0"/>
              <w:ind w:firstLine="0"/>
            </w:pPr>
            <w:r>
              <w:rPr>
                <w:b/>
                <w:sz w:val="16"/>
              </w:rPr>
              <w:t xml:space="preserve">Lexical stratum</w:t>
            </w:r>
          </w:p>
        </w:tc>
        <w:tc>
          <w:tcPr>
            <w:tcW w:w="730" w:type="dxa"/>
            <w:tcBorders>
              <w:bottom w:val="single" w:sz="6" w:space="0" w:color="000000"/>
            </w:tcBorders>
          </w:tcPr>
          <w:p>
            <w:pPr>
              <w:pStyle w:val="Compact"/>
              <w:keepNext/>
              <w:spacing w:before="0" w:after="0"/>
              <w:ind w:firstLine="0"/>
              <w:jc w:val="center"/>
            </w:pPr>
            <w:r>
              <w:rPr>
                <w:b/>
                <w:sz w:val="16"/>
              </w:rPr>
              <w:t xml:space="preserve">Total</w:t>
            </w:r>
          </w:p>
        </w:tc>
        <w:tc>
          <w:tcPr>
            <w:tcW w:w="730" w:type="dxa"/>
            <w:tcBorders>
              <w:bottom w:val="single" w:sz="6" w:space="0" w:color="000000"/>
            </w:tcBorders>
          </w:tcPr>
          <w:p>
            <w:pPr>
              <w:pStyle w:val="Compact"/>
              <w:keepNext/>
              <w:spacing w:before="0" w:after="0"/>
              <w:ind w:firstLine="0"/>
              <w:jc w:val="center"/>
            </w:pPr>
            <w:r>
              <w:rPr>
                <w:b/>
                <w:sz w:val="16"/>
              </w:rPr>
              <w:t xml:space="preserve">Train</w:t>
            </w:r>
          </w:p>
        </w:tc>
        <w:tc>
          <w:tcPr>
            <w:tcW w:w="730" w:type="dxa"/>
            <w:tcBorders>
              <w:bottom w:val="single" w:sz="6" w:space="0" w:color="000000"/>
            </w:tcBorders>
          </w:tcPr>
          <w:p>
            <w:pPr>
              <w:pStyle w:val="Compact"/>
              <w:keepNext/>
              <w:spacing w:before="0" w:after="0"/>
              <w:ind w:firstLine="0"/>
              <w:jc w:val="center"/>
            </w:pPr>
            <w:r>
              <w:rPr>
                <w:b/>
                <w:sz w:val="16"/>
              </w:rPr>
              <w:t xml:space="preserve">Val.</w:t>
            </w:r>
          </w:p>
        </w:tc>
        <w:tc>
          <w:tcPr>
            <w:tcW w:w="734" w:type="dxa"/>
            <w:tcBorders>
              <w:bottom w:val="single" w:sz="6" w:space="0" w:color="000000"/>
            </w:tcBorders>
          </w:tcPr>
          <w:p>
            <w:pPr>
              <w:pStyle w:val="Compact"/>
              <w:keepNext/>
              <w:spacing w:before="0" w:after="0"/>
              <w:ind w:firstLine="0"/>
              <w:jc w:val="center"/>
            </w:pPr>
            <w:r>
              <w:rPr>
                <w:b/>
                <w:sz w:val="16"/>
              </w:rPr>
              <w:t xml:space="preserve">Test</w:t>
            </w:r>
          </w:p>
        </w:tc>
      </w:tr>
      <w:tr>
        <w:tc>
          <w:tcPr>
            <w:tcW w:w="1949" w:type="dxa"/>
          </w:tcPr>
          <w:p>
            <w:pPr>
              <w:pStyle w:val="Compact"/>
              <w:keepNext/>
              <w:spacing w:before="0" w:after="0"/>
              <w:ind w:firstLine="0"/>
            </w:pPr>
            <w:r>
              <w:rPr>
                <w:sz w:val="16"/>
              </w:rPr>
              <w:t xml:space="preserve">Tadbhava (regular change)</w:t>
            </w:r>
          </w:p>
        </w:tc>
        <w:tc>
          <w:tcPr>
            <w:tcW w:w="730" w:type="dxa"/>
          </w:tcPr>
          <w:p>
            <w:pPr>
              <w:pStyle w:val="Compact"/>
              <w:keepNext/>
              <w:spacing w:before="0" w:after="0"/>
              <w:ind w:firstLine="0"/>
              <w:jc w:val="center"/>
            </w:pPr>
            <w:r>
              <w:rPr>
                <w:sz w:val="16"/>
              </w:rPr>
              <w:t xml:space="preserve">8,250</w:t>
            </w:r>
          </w:p>
        </w:tc>
        <w:tc>
          <w:tcPr>
            <w:tcW w:w="730" w:type="dxa"/>
          </w:tcPr>
          <w:p>
            <w:pPr>
              <w:pStyle w:val="Compact"/>
              <w:keepNext/>
              <w:spacing w:before="0" w:after="0"/>
              <w:ind w:firstLine="0"/>
              <w:jc w:val="center"/>
            </w:pPr>
            <w:r>
              <w:rPr>
                <w:sz w:val="16"/>
              </w:rPr>
              <w:t xml:space="preserve">6,600</w:t>
            </w:r>
          </w:p>
        </w:tc>
        <w:tc>
          <w:tcPr>
            <w:tcW w:w="730" w:type="dxa"/>
          </w:tcPr>
          <w:p>
            <w:pPr>
              <w:pStyle w:val="Compact"/>
              <w:keepNext/>
              <w:spacing w:before="0" w:after="0"/>
              <w:ind w:firstLine="0"/>
              <w:jc w:val="center"/>
            </w:pPr>
            <w:r>
              <w:rPr>
                <w:sz w:val="16"/>
              </w:rPr>
              <w:t xml:space="preserve">825</w:t>
            </w:r>
          </w:p>
        </w:tc>
        <w:tc>
          <w:tcPr>
            <w:tcW w:w="734" w:type="dxa"/>
          </w:tcPr>
          <w:p>
            <w:pPr>
              <w:pStyle w:val="Compact"/>
              <w:keepNext/>
              <w:spacing w:before="0" w:after="0"/>
              <w:ind w:firstLine="0"/>
              <w:jc w:val="center"/>
            </w:pPr>
            <w:r>
              <w:rPr>
                <w:sz w:val="16"/>
              </w:rPr>
              <w:t xml:space="preserve">825</w:t>
            </w:r>
          </w:p>
        </w:tc>
      </w:tr>
      <w:tr>
        <w:tc>
          <w:tcPr>
            <w:tcW w:w="1949" w:type="dxa"/>
          </w:tcPr>
          <w:p>
            <w:pPr>
              <w:pStyle w:val="Compact"/>
              <w:keepNext/>
              <w:spacing w:before="0" w:after="0"/>
              <w:ind w:firstLine="0"/>
            </w:pPr>
            <w:r>
              <w:rPr>
                <w:sz w:val="16"/>
              </w:rPr>
              <w:t xml:space="preserve">Tadbhava (complex clusters)</w:t>
            </w:r>
          </w:p>
        </w:tc>
        <w:tc>
          <w:tcPr>
            <w:tcW w:w="730" w:type="dxa"/>
          </w:tcPr>
          <w:p>
            <w:pPr>
              <w:pStyle w:val="Compact"/>
              <w:keepNext/>
              <w:spacing w:before="0" w:after="0"/>
              <w:ind w:firstLine="0"/>
              <w:jc w:val="center"/>
            </w:pPr>
            <w:r>
              <w:rPr>
                <w:sz w:val="16"/>
              </w:rPr>
              <w:t xml:space="preserve">2,450</w:t>
            </w:r>
          </w:p>
        </w:tc>
        <w:tc>
          <w:tcPr>
            <w:tcW w:w="730" w:type="dxa"/>
          </w:tcPr>
          <w:p>
            <w:pPr>
              <w:pStyle w:val="Compact"/>
              <w:keepNext/>
              <w:spacing w:before="0" w:after="0"/>
              <w:ind w:firstLine="0"/>
              <w:jc w:val="center"/>
            </w:pPr>
            <w:r>
              <w:rPr>
                <w:sz w:val="16"/>
              </w:rPr>
              <w:t xml:space="preserve">1,960</w:t>
            </w:r>
          </w:p>
        </w:tc>
        <w:tc>
          <w:tcPr>
            <w:tcW w:w="730" w:type="dxa"/>
          </w:tcPr>
          <w:p>
            <w:pPr>
              <w:pStyle w:val="Compact"/>
              <w:keepNext/>
              <w:spacing w:before="0" w:after="0"/>
              <w:ind w:firstLine="0"/>
              <w:jc w:val="center"/>
            </w:pPr>
            <w:r>
              <w:rPr>
                <w:sz w:val="16"/>
              </w:rPr>
              <w:t xml:space="preserve">245</w:t>
            </w:r>
          </w:p>
        </w:tc>
        <w:tc>
          <w:tcPr>
            <w:tcW w:w="734" w:type="dxa"/>
          </w:tcPr>
          <w:p>
            <w:pPr>
              <w:pStyle w:val="Compact"/>
              <w:keepNext/>
              <w:spacing w:before="0" w:after="0"/>
              <w:ind w:firstLine="0"/>
              <w:jc w:val="center"/>
            </w:pPr>
            <w:r>
              <w:rPr>
                <w:sz w:val="16"/>
              </w:rPr>
              <w:t xml:space="preserve">245</w:t>
            </w:r>
          </w:p>
        </w:tc>
      </w:tr>
      <w:tr>
        <w:tc>
          <w:tcPr>
            <w:tcW w:w="1949" w:type="dxa"/>
          </w:tcPr>
          <w:p>
            <w:pPr>
              <w:pStyle w:val="Compact"/>
              <w:keepNext/>
              <w:spacing w:before="0" w:after="0"/>
              <w:ind w:firstLine="0"/>
            </w:pPr>
            <w:r>
              <w:rPr>
                <w:sz w:val="16"/>
              </w:rPr>
              <w:t xml:space="preserve">Tatsama (adapted)</w:t>
            </w:r>
          </w:p>
        </w:tc>
        <w:tc>
          <w:tcPr>
            <w:tcW w:w="730" w:type="dxa"/>
          </w:tcPr>
          <w:p>
            <w:pPr>
              <w:pStyle w:val="Compact"/>
              <w:keepNext/>
              <w:spacing w:before="0" w:after="0"/>
              <w:ind w:firstLine="0"/>
              <w:jc w:val="center"/>
            </w:pPr>
            <w:r>
              <w:rPr>
                <w:sz w:val="16"/>
              </w:rPr>
              <w:t xml:space="preserve">1,200</w:t>
            </w:r>
          </w:p>
        </w:tc>
        <w:tc>
          <w:tcPr>
            <w:tcW w:w="730" w:type="dxa"/>
          </w:tcPr>
          <w:p>
            <w:pPr>
              <w:pStyle w:val="Compact"/>
              <w:keepNext/>
              <w:spacing w:before="0" w:after="0"/>
              <w:ind w:firstLine="0"/>
              <w:jc w:val="center"/>
            </w:pPr>
            <w:r>
              <w:rPr>
                <w:sz w:val="16"/>
              </w:rPr>
              <w:t xml:space="preserve">960</w:t>
            </w:r>
          </w:p>
        </w:tc>
        <w:tc>
          <w:tcPr>
            <w:tcW w:w="730" w:type="dxa"/>
          </w:tcPr>
          <w:p>
            <w:pPr>
              <w:pStyle w:val="Compact"/>
              <w:keepNext/>
              <w:spacing w:before="0" w:after="0"/>
              <w:ind w:firstLine="0"/>
              <w:jc w:val="center"/>
            </w:pPr>
            <w:r>
              <w:rPr>
                <w:sz w:val="16"/>
              </w:rPr>
              <w:t xml:space="preserve">120</w:t>
            </w:r>
          </w:p>
        </w:tc>
        <w:tc>
          <w:tcPr>
            <w:tcW w:w="734" w:type="dxa"/>
          </w:tcPr>
          <w:p>
            <w:pPr>
              <w:pStyle w:val="Compact"/>
              <w:keepNext/>
              <w:spacing w:before="0" w:after="0"/>
              <w:ind w:firstLine="0"/>
              <w:jc w:val="center"/>
            </w:pPr>
            <w:r>
              <w:rPr>
                <w:sz w:val="16"/>
              </w:rPr>
              <w:t xml:space="preserve">120</w:t>
            </w:r>
          </w:p>
        </w:tc>
      </w:tr>
      <w:tr>
        <w:tc>
          <w:tcPr>
            <w:tcW w:w="1949" w:type="dxa"/>
          </w:tcPr>
          <w:p>
            <w:pPr>
              <w:pStyle w:val="Compact"/>
              <w:keepNext/>
              <w:spacing w:before="0" w:after="0"/>
              <w:ind w:firstLine="0"/>
            </w:pPr>
            <w:r>
              <w:rPr>
                <w:sz w:val="16"/>
              </w:rPr>
              <w:t xml:space="preserve">Deshya / substrate</w:t>
            </w:r>
          </w:p>
        </w:tc>
        <w:tc>
          <w:tcPr>
            <w:tcW w:w="730" w:type="dxa"/>
          </w:tcPr>
          <w:p>
            <w:pPr>
              <w:pStyle w:val="Compact"/>
              <w:keepNext/>
              <w:spacing w:before="0" w:after="0"/>
              <w:ind w:firstLine="0"/>
              <w:jc w:val="center"/>
            </w:pPr>
            <w:r>
              <w:rPr>
                <w:sz w:val="16"/>
              </w:rPr>
              <w:t xml:space="preserve">600</w:t>
            </w:r>
          </w:p>
        </w:tc>
        <w:tc>
          <w:tcPr>
            <w:tcW w:w="730" w:type="dxa"/>
          </w:tcPr>
          <w:p>
            <w:pPr>
              <w:pStyle w:val="Compact"/>
              <w:keepNext/>
              <w:spacing w:before="0" w:after="0"/>
              <w:ind w:firstLine="0"/>
              <w:jc w:val="center"/>
            </w:pPr>
            <w:r>
              <w:rPr>
                <w:sz w:val="16"/>
              </w:rPr>
              <w:t xml:space="preserve">480</w:t>
            </w:r>
          </w:p>
        </w:tc>
        <w:tc>
          <w:tcPr>
            <w:tcW w:w="730" w:type="dxa"/>
          </w:tcPr>
          <w:p>
            <w:pPr>
              <w:pStyle w:val="Compact"/>
              <w:keepNext/>
              <w:spacing w:before="0" w:after="0"/>
              <w:ind w:firstLine="0"/>
              <w:jc w:val="center"/>
            </w:pPr>
            <w:r>
              <w:rPr>
                <w:sz w:val="16"/>
              </w:rPr>
              <w:t xml:space="preserve">60</w:t>
            </w:r>
          </w:p>
        </w:tc>
        <w:tc>
          <w:tcPr>
            <w:tcW w:w="734" w:type="dxa"/>
          </w:tcPr>
          <w:p>
            <w:pPr>
              <w:pStyle w:val="Compact"/>
              <w:keepNext/>
              <w:spacing w:before="0" w:after="0"/>
              <w:ind w:firstLine="0"/>
              <w:jc w:val="center"/>
            </w:pPr>
            <w:r>
              <w:rPr>
                <w:sz w:val="16"/>
              </w:rPr>
              <w:t xml:space="preserve">60</w:t>
            </w:r>
          </w:p>
        </w:tc>
      </w:tr>
      <w:tr>
        <w:tc>
          <w:tcPr>
            <w:tcW w:w="1949" w:type="dxa"/>
          </w:tcPr>
          <w:p>
            <w:pPr>
              <w:pStyle w:val="Compact"/>
              <w:spacing w:before="0" w:after="0"/>
              <w:ind w:firstLine="0"/>
            </w:pPr>
            <w:r>
              <w:rPr>
                <w:bCs/>
                <w:b/>
                <w:sz w:val="16"/>
              </w:rPr>
              <w:t xml:space="preserve">Total</w:t>
            </w:r>
          </w:p>
        </w:tc>
        <w:tc>
          <w:tcPr>
            <w:tcW w:w="730" w:type="dxa"/>
          </w:tcPr>
          <w:p>
            <w:pPr>
              <w:pStyle w:val="Compact"/>
              <w:spacing w:before="0" w:after="0"/>
              <w:ind w:firstLine="0"/>
              <w:jc w:val="center"/>
            </w:pPr>
            <w:r>
              <w:rPr>
                <w:bCs/>
                <w:b/>
                <w:sz w:val="16"/>
              </w:rPr>
              <w:t xml:space="preserve">12,500</w:t>
            </w:r>
          </w:p>
        </w:tc>
        <w:tc>
          <w:tcPr>
            <w:tcW w:w="730" w:type="dxa"/>
          </w:tcPr>
          <w:p>
            <w:pPr>
              <w:pStyle w:val="Compact"/>
              <w:spacing w:before="0" w:after="0"/>
              <w:ind w:firstLine="0"/>
              <w:jc w:val="center"/>
            </w:pPr>
            <w:r>
              <w:rPr>
                <w:bCs/>
                <w:b/>
                <w:sz w:val="16"/>
              </w:rPr>
              <w:t xml:space="preserve">10,000</w:t>
            </w:r>
          </w:p>
        </w:tc>
        <w:tc>
          <w:tcPr>
            <w:tcW w:w="730" w:type="dxa"/>
          </w:tcPr>
          <w:p>
            <w:pPr>
              <w:pStyle w:val="Compact"/>
              <w:spacing w:before="0" w:after="0"/>
              <w:ind w:firstLine="0"/>
              <w:jc w:val="center"/>
            </w:pPr>
            <w:r>
              <w:rPr>
                <w:bCs/>
                <w:b/>
                <w:sz w:val="16"/>
              </w:rPr>
              <w:t xml:space="preserve">1,250</w:t>
            </w:r>
          </w:p>
        </w:tc>
        <w:tc>
          <w:tcPr>
            <w:tcW w:w="734" w:type="dxa"/>
          </w:tcPr>
          <w:p>
            <w:pPr>
              <w:pStyle w:val="Compact"/>
              <w:spacing w:before="0" w:after="0"/>
              <w:ind w:firstLine="0"/>
              <w:jc w:val="center"/>
            </w:pPr>
            <w:r>
              <w:rPr>
                <w:bCs/>
                <w:b/>
                <w:sz w:val="16"/>
              </w:rPr>
              <w:t xml:space="preserve">1,250</w:t>
            </w:r>
          </w:p>
        </w:tc>
      </w:tr>
    </w:tbl>
    <w:p>
      <w:pPr>
        <w:pStyle w:val="BodyText"/>
      </w:pPr>
      <w:r>
        <w:rPr>
          <w:bCs/>
          <w:b/>
        </w:rPr>
        <w:t xml:space="preserve">C. Preprocessing.</w:t>
      </w:r>
      <w:r>
        <w:t xml:space="preserve"> </w:t>
      </w:r>
      <w:r>
        <w:t xml:space="preserve">A four-stage protocol is applied. First, Devanagari text is normalized to remove encoding inconsistencies and zero-width joiners and to standardize anusvara. Second, inflectional endings are stripped to isolate bare roots. Third, roots are converted to IPA sequences, with a subset of 2,000 items independently verified by linguists. Fourth, each Sanskrit root is aligned with its Prakrit form, Apabhraṃśa reflex, and Modern Marathi derivative to give multi-stage targets.</w:t>
      </w:r>
    </w:p>
    <w:p>
      <w:pPr>
        <w:pStyle w:val="BodyText"/>
      </w:pPr>
      <w:r>
        <w:rPr>
          <w:bCs/>
          <w:b/>
        </w:rPr>
        <w:t xml:space="preserve">D. Model and training configuration.</w:t>
      </w:r>
      <w:r>
        <w:t xml:space="preserve"> </w:t>
      </w:r>
      <w:r>
        <w:t xml:space="preserve">The phoneme Transformer has a 4-layer encoder and a 4-layer decoder with</w:t>
      </w:r>
      <w:r>
        <w:t xml:space="preserve"> </w:t>
      </w:r>
      <m:oMath>
        <m:sSub>
          <m:e>
            <m:r>
              <m:t>d</m:t>
            </m:r>
          </m:e>
          <m:sub>
            <m:r>
              <m:rPr>
                <m:nor/>
                <m:sty m:val="p"/>
              </m:rPr>
              <m:t>model</m:t>
            </m:r>
          </m:sub>
        </m:sSub>
        <m:r>
          <m:rPr>
            <m:sty m:val="p"/>
          </m:rPr>
          <m:t>=</m:t>
        </m:r>
        <m:r>
          <m:t>256</m:t>
        </m:r>
      </m:oMath>
      <w:r>
        <w:t xml:space="preserve">, feed-forward dimension</w:t>
      </w:r>
      <w:r>
        <w:t xml:space="preserve"> </w:t>
      </w:r>
      <m:oMath>
        <m:sSub>
          <m:e>
            <m:r>
              <m:t>d</m:t>
            </m:r>
          </m:e>
          <m:sub>
            <m:r>
              <m:rPr>
                <m:nor/>
                <m:sty m:val="p"/>
              </m:rPr>
              <m:t>ff</m:t>
            </m:r>
          </m:sub>
        </m:sSub>
        <m:r>
          <m:rPr>
            <m:sty m:val="p"/>
          </m:rPr>
          <m:t>=</m:t>
        </m:r>
        <m:r>
          <m:t>1024</m:t>
        </m:r>
      </m:oMath>
      <w:r>
        <w:t xml:space="preserve">, and</w:t>
      </w:r>
      <w:r>
        <w:t xml:space="preserve"> </w:t>
      </w:r>
      <m:oMath>
        <m:sSub>
          <m:e>
            <m:r>
              <m:t>n</m:t>
            </m:r>
          </m:e>
          <m:sub>
            <m:r>
              <m:rPr>
                <m:nor/>
                <m:sty m:val="p"/>
              </m:rPr>
              <m:t>heads</m:t>
            </m:r>
          </m:sub>
        </m:sSub>
        <m:r>
          <m:rPr>
            <m:sty m:val="p"/>
          </m:rPr>
          <m:t>=</m:t>
        </m:r>
        <m:r>
          <m:t>8</m:t>
        </m:r>
      </m:oMath>
      <w:r>
        <w:t xml:space="preserve">. Dropout is 0.15 to limit overfitting on the low-resource data. The projection layer maps 24 PanPhon features concatenated with 64-dimensional learned phoneme embeddings to</w:t>
      </w:r>
      <w:r>
        <w:t xml:space="preserve"> </w:t>
      </w:r>
      <m:oMath>
        <m:sSub>
          <m:e>
            <m:r>
              <m:t>d</m:t>
            </m:r>
          </m:e>
          <m:sub>
            <m:r>
              <m:rPr>
                <m:nor/>
                <m:sty m:val="p"/>
              </m:rPr>
              <m:t>model</m:t>
            </m:r>
          </m:sub>
        </m:sSub>
      </m:oMath>
      <w:r>
        <w:t xml:space="preserve">, and the loss weights are</w:t>
      </w:r>
      <w:r>
        <w:t xml:space="preserve"> </w:t>
      </w:r>
      <m:oMath>
        <m:sSub>
          <m:e>
            <m:r>
              <m:t>λ</m:t>
            </m:r>
          </m:e>
          <m:sub>
            <m:r>
              <m:t>1</m:t>
            </m:r>
          </m:sub>
        </m:sSub>
        <m:r>
          <m:rPr>
            <m:sty m:val="p"/>
          </m:rPr>
          <m:t>=</m:t>
        </m:r>
        <m:r>
          <m:t>0.4</m:t>
        </m:r>
      </m:oMath>
      <w:r>
        <w:t xml:space="preserve"> </w:t>
      </w:r>
      <w:r>
        <w:t xml:space="preserve">and</w:t>
      </w:r>
      <w:r>
        <w:t xml:space="preserve"> </w:t>
      </w:r>
      <m:oMath>
        <m:sSub>
          <m:e>
            <m:r>
              <m:t>λ</m:t>
            </m:r>
          </m:e>
          <m:sub>
            <m:r>
              <m:t>2</m:t>
            </m:r>
          </m:sub>
        </m:sSub>
        <m:r>
          <m:rPr>
            <m:sty m:val="p"/>
          </m:rPr>
          <m:t>=</m:t>
        </m:r>
        <m:r>
          <m:t>0.2</m:t>
        </m:r>
      </m:oMath>
      <w:r>
        <w:t xml:space="preserve">. Training uses AdamW [26] with an initial learning rate of</w:t>
      </w:r>
      <w:r>
        <w:t xml:space="preserve"> </w:t>
      </w:r>
      <m:oMath>
        <m:r>
          <m:t>3</m:t>
        </m:r>
        <m:r>
          <m:rPr>
            <m:sty m:val="p"/>
          </m:rPr>
          <m:t>×</m:t>
        </m:r>
        <m:sSup>
          <m:e>
            <m:r>
              <m:t>10</m:t>
            </m:r>
          </m:e>
          <m:sup>
            <m:r>
              <m:rPr>
                <m:sty m:val="p"/>
              </m:rPr>
              <m:t>−</m:t>
            </m:r>
            <m:r>
              <m:t>4</m:t>
            </m:r>
          </m:sup>
        </m:sSup>
      </m:oMath>
      <w:r>
        <w:t xml:space="preserve">, cosine decay, 1,000 warmup steps, 80 epochs, and batch size 64 on a single NVIDIA RTX 4090 GPU (24 GB).</w:t>
      </w:r>
    </w:p>
    <w:bookmarkEnd w:id="27"/>
    <w:bookmarkStart w:id="31" w:name="vi.-results-and-discussion"/>
    <w:p>
      <w:pPr>
        <w:pStyle w:val="Heading1"/>
      </w:pPr>
      <w:r>
        <w:t xml:space="preserve">VI. Results and Discussion</w:t>
      </w:r>
    </w:p>
    <w:p>
      <w:pPr>
        <w:pStyle w:val="FirstParagraph"/>
      </w:pPr>
      <w:r>
        <w:rPr>
          <w:bCs/>
          <w:b/>
        </w:rPr>
        <w:t xml:space="preserve">A. Metrics and baselines.</w:t>
      </w:r>
      <w:r>
        <w:t xml:space="preserve"> </w:t>
      </w:r>
      <w:r>
        <w:t xml:space="preserve">Four metrics are reported: Character Error Rate (CER), the phoneme-level normalized Levenshtein distance between target and prediction; Phonetic Edit Distance (PED), computed with PanPhon’s articulatory feature distance to measure phonetic similarity [16]; Phoneme BLEU, the n-gram overlap of predicted phoneme sequences; and chrF++ [27], a character n-gram F-score suited to morphologically rich languages. Four baselines were used: (i) a deterministic rule FST engine without learning; (ii) a bidirectional LSTM with Bahdanau attention [13]; (iii) a vanilla 4-layer Transformer over discrete phonemes with no articulatory features or rule constraints; and (iv) an unconstrained reflex Transformer adapted from proto-form reconstruction work [9], [15].</w:t>
      </w:r>
    </w:p>
    <w:p>
      <w:pPr>
        <w:pStyle w:val="TableCaption"/>
        <w:keepNext/>
        <w:spacing w:before="120" w:after="60"/>
        <w:ind w:firstLine="0"/>
        <w:jc w:val="center"/>
      </w:pPr>
      <w:r>
        <w:rPr>
          <w:rFonts w:ascii="Times New Roman" w:hAnsi="Times New Roman"/>
          <w:i w:val="0"/>
          <w:smallCaps/>
          <w:sz w:val="16"/>
        </w:rPr>
        <w:t xml:space="preserve">TABLE IV</w:t>
      </w:r>
      <w:r>
        <w:rPr>
          <w:rFonts w:ascii="Times New Roman" w:hAnsi="Times New Roman"/>
          <w:i w:val="0"/>
          <w:smallCaps/>
          <w:sz w:val="16"/>
        </w:rPr>
        <w:br/>
      </w:r>
      <w:r>
        <w:rPr>
          <w:rFonts w:ascii="Times New Roman" w:hAnsi="Times New Roman"/>
          <w:i w:val="0"/>
          <w:smallCaps/>
          <w:sz w:val="16"/>
        </w:rPr>
        <w:t xml:space="preserve">Performance on the Test Set (1,250 Pairs)</w:t>
      </w:r>
    </w:p>
    <w:tbl>
      <w:tblPr>
        <w:tblW w:w="4873" w:type="dxa"/>
        <w:tblBorders>
          <w:top w:val="single" w:sz="8" w:space="0" w:color="000000"/>
          <w:bottom w:val="single" w:sz="8" w:space="0" w:color="000000"/>
          <w:insideH w:val="single" w:sz="2" w:space="0" w:color="999999"/>
        </w:tblBorders>
        <w:tblLayout w:type="fixed"/>
        <w:tblCellMar>
          <w:top w:w="20" w:type="dxa"/>
          <w:left w:w="50" w:type="dxa"/>
          <w:bottom w:w="20" w:type="dxa"/>
          <w:right w:w="50" w:type="dxa"/>
        </w:tblCellMar>
      </w:tblPr>
      <w:tblGrid>
        <w:gridCol w:w="1949"/>
        <w:gridCol w:w="730"/>
        <w:gridCol w:w="633"/>
        <w:gridCol w:w="779"/>
        <w:gridCol w:w="782"/>
      </w:tblGrid>
      <w:tr>
        <w:trPr>
          <w:tblHeader w:val="true"/>
        </w:trPr>
        <w:tc>
          <w:tcPr>
            <w:tcW w:w="1949" w:type="dxa"/>
            <w:tcBorders>
              <w:bottom w:val="single" w:sz="6" w:space="0" w:color="000000"/>
            </w:tcBorders>
          </w:tcPr>
          <w:p>
            <w:pPr>
              <w:pStyle w:val="Compact"/>
              <w:keepNext/>
              <w:spacing w:before="0" w:after="0"/>
              <w:ind w:firstLine="0"/>
            </w:pPr>
            <w:r>
              <w:rPr>
                <w:b/>
                <w:sz w:val="16"/>
              </w:rPr>
              <w:t xml:space="preserve">Model</w:t>
            </w:r>
          </w:p>
        </w:tc>
        <w:tc>
          <w:tcPr>
            <w:tcW w:w="730" w:type="dxa"/>
            <w:tcBorders>
              <w:bottom w:val="single" w:sz="6" w:space="0" w:color="000000"/>
            </w:tcBorders>
          </w:tcPr>
          <w:p>
            <w:pPr>
              <w:pStyle w:val="Compact"/>
              <w:keepNext/>
              <w:spacing w:before="0" w:after="0"/>
              <w:ind w:firstLine="0"/>
              <w:jc w:val="center"/>
            </w:pPr>
            <w:r>
              <w:rPr>
                <w:b/>
                <w:sz w:val="16"/>
              </w:rPr>
              <w:t xml:space="preserve">CER (%) ↓</w:t>
            </w:r>
          </w:p>
        </w:tc>
        <w:tc>
          <w:tcPr>
            <w:tcW w:w="633" w:type="dxa"/>
            <w:tcBorders>
              <w:bottom w:val="single" w:sz="6" w:space="0" w:color="000000"/>
            </w:tcBorders>
          </w:tcPr>
          <w:p>
            <w:pPr>
              <w:pStyle w:val="Compact"/>
              <w:keepNext/>
              <w:spacing w:before="0" w:after="0"/>
              <w:ind w:firstLine="0"/>
              <w:jc w:val="center"/>
            </w:pPr>
            <w:r>
              <w:rPr>
                <w:b/>
                <w:sz w:val="16"/>
              </w:rPr>
              <w:t xml:space="preserve">PED ↓</w:t>
            </w:r>
          </w:p>
        </w:tc>
        <w:tc>
          <w:tcPr>
            <w:tcW w:w="779" w:type="dxa"/>
            <w:tcBorders>
              <w:bottom w:val="single" w:sz="6" w:space="0" w:color="000000"/>
            </w:tcBorders>
          </w:tcPr>
          <w:p>
            <w:pPr>
              <w:pStyle w:val="Compact"/>
              <w:keepNext/>
              <w:spacing w:before="0" w:after="0"/>
              <w:ind w:firstLine="0"/>
              <w:jc w:val="center"/>
            </w:pPr>
            <w:r>
              <w:rPr>
                <w:b/>
                <w:sz w:val="16"/>
              </w:rPr>
              <w:t xml:space="preserve">P-BLEU ↑</w:t>
            </w:r>
          </w:p>
        </w:tc>
        <w:tc>
          <w:tcPr>
            <w:tcW w:w="782" w:type="dxa"/>
            <w:tcBorders>
              <w:bottom w:val="single" w:sz="6" w:space="0" w:color="000000"/>
            </w:tcBorders>
          </w:tcPr>
          <w:p>
            <w:pPr>
              <w:pStyle w:val="Compact"/>
              <w:keepNext/>
              <w:spacing w:before="0" w:after="0"/>
              <w:ind w:firstLine="0"/>
              <w:jc w:val="center"/>
            </w:pPr>
            <w:r>
              <w:rPr>
                <w:b/>
                <w:sz w:val="16"/>
              </w:rPr>
              <w:t xml:space="preserve">chrF++ ↑</w:t>
            </w:r>
          </w:p>
        </w:tc>
      </w:tr>
      <w:tr>
        <w:tc>
          <w:tcPr>
            <w:tcW w:w="1949" w:type="dxa"/>
          </w:tcPr>
          <w:p>
            <w:pPr>
              <w:pStyle w:val="Compact"/>
              <w:keepNext/>
              <w:spacing w:before="0" w:after="0"/>
              <w:ind w:firstLine="0"/>
            </w:pPr>
            <w:r>
              <w:rPr>
                <w:sz w:val="16"/>
              </w:rPr>
              <w:t xml:space="preserve">Rule FST engine</w:t>
            </w:r>
          </w:p>
        </w:tc>
        <w:tc>
          <w:tcPr>
            <w:tcW w:w="730" w:type="dxa"/>
          </w:tcPr>
          <w:p>
            <w:pPr>
              <w:pStyle w:val="Compact"/>
              <w:keepNext/>
              <w:spacing w:before="0" w:after="0"/>
              <w:ind w:firstLine="0"/>
              <w:jc w:val="center"/>
            </w:pPr>
            <w:r>
              <w:rPr>
                <w:sz w:val="16"/>
              </w:rPr>
              <w:t xml:space="preserve">18.42</w:t>
            </w:r>
          </w:p>
        </w:tc>
        <w:tc>
          <w:tcPr>
            <w:tcW w:w="633" w:type="dxa"/>
          </w:tcPr>
          <w:p>
            <w:pPr>
              <w:pStyle w:val="Compact"/>
              <w:keepNext/>
              <w:spacing w:before="0" w:after="0"/>
              <w:ind w:firstLine="0"/>
              <w:jc w:val="center"/>
            </w:pPr>
            <w:r>
              <w:rPr>
                <w:sz w:val="16"/>
              </w:rPr>
              <w:t xml:space="preserve">1.34</w:t>
            </w:r>
          </w:p>
        </w:tc>
        <w:tc>
          <w:tcPr>
            <w:tcW w:w="779" w:type="dxa"/>
          </w:tcPr>
          <w:p>
            <w:pPr>
              <w:pStyle w:val="Compact"/>
              <w:keepNext/>
              <w:spacing w:before="0" w:after="0"/>
              <w:ind w:firstLine="0"/>
              <w:jc w:val="center"/>
            </w:pPr>
            <w:r>
              <w:rPr>
                <w:sz w:val="16"/>
              </w:rPr>
              <w:t xml:space="preserve">64.12</w:t>
            </w:r>
          </w:p>
        </w:tc>
        <w:tc>
          <w:tcPr>
            <w:tcW w:w="782" w:type="dxa"/>
          </w:tcPr>
          <w:p>
            <w:pPr>
              <w:pStyle w:val="Compact"/>
              <w:keepNext/>
              <w:spacing w:before="0" w:after="0"/>
              <w:ind w:firstLine="0"/>
              <w:jc w:val="center"/>
            </w:pPr>
            <w:r>
              <w:rPr>
                <w:sz w:val="16"/>
              </w:rPr>
              <w:t xml:space="preserve">71.05</w:t>
            </w:r>
          </w:p>
        </w:tc>
      </w:tr>
      <w:tr>
        <w:tc>
          <w:tcPr>
            <w:tcW w:w="1949" w:type="dxa"/>
          </w:tcPr>
          <w:p>
            <w:pPr>
              <w:pStyle w:val="Compact"/>
              <w:keepNext/>
              <w:spacing w:before="0" w:after="0"/>
              <w:ind w:firstLine="0"/>
            </w:pPr>
            <w:r>
              <w:rPr>
                <w:sz w:val="16"/>
              </w:rPr>
              <w:t xml:space="preserve">BiLSTM + attention</w:t>
            </w:r>
          </w:p>
        </w:tc>
        <w:tc>
          <w:tcPr>
            <w:tcW w:w="730" w:type="dxa"/>
          </w:tcPr>
          <w:p>
            <w:pPr>
              <w:pStyle w:val="Compact"/>
              <w:keepNext/>
              <w:spacing w:before="0" w:after="0"/>
              <w:ind w:firstLine="0"/>
              <w:jc w:val="center"/>
            </w:pPr>
            <w:r>
              <w:rPr>
                <w:sz w:val="16"/>
              </w:rPr>
              <w:t xml:space="preserve">14.85</w:t>
            </w:r>
          </w:p>
        </w:tc>
        <w:tc>
          <w:tcPr>
            <w:tcW w:w="633" w:type="dxa"/>
          </w:tcPr>
          <w:p>
            <w:pPr>
              <w:pStyle w:val="Compact"/>
              <w:keepNext/>
              <w:spacing w:before="0" w:after="0"/>
              <w:ind w:firstLine="0"/>
              <w:jc w:val="center"/>
            </w:pPr>
            <w:r>
              <w:rPr>
                <w:sz w:val="16"/>
              </w:rPr>
              <w:t xml:space="preserve">0.98</w:t>
            </w:r>
          </w:p>
        </w:tc>
        <w:tc>
          <w:tcPr>
            <w:tcW w:w="779" w:type="dxa"/>
          </w:tcPr>
          <w:p>
            <w:pPr>
              <w:pStyle w:val="Compact"/>
              <w:keepNext/>
              <w:spacing w:before="0" w:after="0"/>
              <w:ind w:firstLine="0"/>
              <w:jc w:val="center"/>
            </w:pPr>
            <w:r>
              <w:rPr>
                <w:sz w:val="16"/>
              </w:rPr>
              <w:t xml:space="preserve">71.30</w:t>
            </w:r>
          </w:p>
        </w:tc>
        <w:tc>
          <w:tcPr>
            <w:tcW w:w="782" w:type="dxa"/>
          </w:tcPr>
          <w:p>
            <w:pPr>
              <w:pStyle w:val="Compact"/>
              <w:keepNext/>
              <w:spacing w:before="0" w:after="0"/>
              <w:ind w:firstLine="0"/>
              <w:jc w:val="center"/>
            </w:pPr>
            <w:r>
              <w:rPr>
                <w:sz w:val="16"/>
              </w:rPr>
              <w:t xml:space="preserve">76.82</w:t>
            </w:r>
          </w:p>
        </w:tc>
      </w:tr>
      <w:tr>
        <w:tc>
          <w:tcPr>
            <w:tcW w:w="1949" w:type="dxa"/>
          </w:tcPr>
          <w:p>
            <w:pPr>
              <w:pStyle w:val="Compact"/>
              <w:keepNext/>
              <w:spacing w:before="0" w:after="0"/>
              <w:ind w:firstLine="0"/>
            </w:pPr>
            <w:r>
              <w:rPr>
                <w:sz w:val="16"/>
              </w:rPr>
              <w:t xml:space="preserve">Vanilla Transformer</w:t>
            </w:r>
          </w:p>
        </w:tc>
        <w:tc>
          <w:tcPr>
            <w:tcW w:w="730" w:type="dxa"/>
          </w:tcPr>
          <w:p>
            <w:pPr>
              <w:pStyle w:val="Compact"/>
              <w:keepNext/>
              <w:spacing w:before="0" w:after="0"/>
              <w:ind w:firstLine="0"/>
              <w:jc w:val="center"/>
            </w:pPr>
            <w:r>
              <w:rPr>
                <w:sz w:val="16"/>
              </w:rPr>
              <w:t xml:space="preserve">11.20</w:t>
            </w:r>
          </w:p>
        </w:tc>
        <w:tc>
          <w:tcPr>
            <w:tcW w:w="633" w:type="dxa"/>
          </w:tcPr>
          <w:p>
            <w:pPr>
              <w:pStyle w:val="Compact"/>
              <w:keepNext/>
              <w:spacing w:before="0" w:after="0"/>
              <w:ind w:firstLine="0"/>
              <w:jc w:val="center"/>
            </w:pPr>
            <w:r>
              <w:rPr>
                <w:sz w:val="16"/>
              </w:rPr>
              <w:t xml:space="preserve">0.76</w:t>
            </w:r>
          </w:p>
        </w:tc>
        <w:tc>
          <w:tcPr>
            <w:tcW w:w="779" w:type="dxa"/>
          </w:tcPr>
          <w:p>
            <w:pPr>
              <w:pStyle w:val="Compact"/>
              <w:keepNext/>
              <w:spacing w:before="0" w:after="0"/>
              <w:ind w:firstLine="0"/>
              <w:jc w:val="center"/>
            </w:pPr>
            <w:r>
              <w:rPr>
                <w:sz w:val="16"/>
              </w:rPr>
              <w:t xml:space="preserve">77.45</w:t>
            </w:r>
          </w:p>
        </w:tc>
        <w:tc>
          <w:tcPr>
            <w:tcW w:w="782" w:type="dxa"/>
          </w:tcPr>
          <w:p>
            <w:pPr>
              <w:pStyle w:val="Compact"/>
              <w:keepNext/>
              <w:spacing w:before="0" w:after="0"/>
              <w:ind w:firstLine="0"/>
              <w:jc w:val="center"/>
            </w:pPr>
            <w:r>
              <w:rPr>
                <w:sz w:val="16"/>
              </w:rPr>
              <w:t xml:space="preserve">81.60</w:t>
            </w:r>
          </w:p>
        </w:tc>
      </w:tr>
      <w:tr>
        <w:tc>
          <w:tcPr>
            <w:tcW w:w="1949" w:type="dxa"/>
          </w:tcPr>
          <w:p>
            <w:pPr>
              <w:pStyle w:val="Compact"/>
              <w:keepNext/>
              <w:spacing w:before="0" w:after="0"/>
              <w:ind w:firstLine="0"/>
            </w:pPr>
            <w:r>
              <w:rPr>
                <w:sz w:val="16"/>
              </w:rPr>
              <w:t xml:space="preserve">Unconstrained reflex Transformer</w:t>
            </w:r>
          </w:p>
        </w:tc>
        <w:tc>
          <w:tcPr>
            <w:tcW w:w="730" w:type="dxa"/>
          </w:tcPr>
          <w:p>
            <w:pPr>
              <w:pStyle w:val="Compact"/>
              <w:keepNext/>
              <w:spacing w:before="0" w:after="0"/>
              <w:ind w:firstLine="0"/>
              <w:jc w:val="center"/>
            </w:pPr>
            <w:r>
              <w:rPr>
                <w:sz w:val="16"/>
              </w:rPr>
              <w:t xml:space="preserve">9.84</w:t>
            </w:r>
          </w:p>
        </w:tc>
        <w:tc>
          <w:tcPr>
            <w:tcW w:w="633" w:type="dxa"/>
          </w:tcPr>
          <w:p>
            <w:pPr>
              <w:pStyle w:val="Compact"/>
              <w:keepNext/>
              <w:spacing w:before="0" w:after="0"/>
              <w:ind w:firstLine="0"/>
              <w:jc w:val="center"/>
            </w:pPr>
            <w:r>
              <w:rPr>
                <w:sz w:val="16"/>
              </w:rPr>
              <w:t xml:space="preserve">0.62</w:t>
            </w:r>
          </w:p>
        </w:tc>
        <w:tc>
          <w:tcPr>
            <w:tcW w:w="779" w:type="dxa"/>
          </w:tcPr>
          <w:p>
            <w:pPr>
              <w:pStyle w:val="Compact"/>
              <w:keepNext/>
              <w:spacing w:before="0" w:after="0"/>
              <w:ind w:firstLine="0"/>
              <w:jc w:val="center"/>
            </w:pPr>
            <w:r>
              <w:rPr>
                <w:sz w:val="16"/>
              </w:rPr>
              <w:t xml:space="preserve">80.12</w:t>
            </w:r>
          </w:p>
        </w:tc>
        <w:tc>
          <w:tcPr>
            <w:tcW w:w="782" w:type="dxa"/>
          </w:tcPr>
          <w:p>
            <w:pPr>
              <w:pStyle w:val="Compact"/>
              <w:keepNext/>
              <w:spacing w:before="0" w:after="0"/>
              <w:ind w:firstLine="0"/>
              <w:jc w:val="center"/>
            </w:pPr>
            <w:r>
              <w:rPr>
                <w:sz w:val="16"/>
              </w:rPr>
              <w:t xml:space="preserve">84.15</w:t>
            </w:r>
          </w:p>
        </w:tc>
      </w:tr>
      <w:tr>
        <w:tc>
          <w:tcPr>
            <w:tcW w:w="1949" w:type="dxa"/>
          </w:tcPr>
          <w:p>
            <w:pPr>
              <w:pStyle w:val="Compact"/>
              <w:keepNext/>
              <w:spacing w:before="0" w:after="0"/>
              <w:ind w:firstLine="0"/>
            </w:pPr>
            <w:r>
              <w:rPr>
                <w:sz w:val="16"/>
              </w:rPr>
              <w:t xml:space="preserve">Hybrid, no semantic loss (</w:t>
            </w:r>
            <m:oMath>
              <m:sSub>
                <m:e>
                  <m:r>
                    <m:t>λ</m:t>
                  </m:r>
                </m:e>
                <m:sub>
                  <m:r>
                    <m:t>2</m:t>
                  </m:r>
                </m:sub>
              </m:sSub>
              <m:r>
                <m:rPr>
                  <m:sty m:val="p"/>
                </m:rPr>
                <m:t>=</m:t>
              </m:r>
              <m:r>
                <m:t>0</m:t>
              </m:r>
            </m:oMath>
            <w:r>
              <w:rPr>
                <w:sz w:val="16"/>
              </w:rPr>
              <w:t xml:space="preserve">)</w:t>
            </w:r>
          </w:p>
        </w:tc>
        <w:tc>
          <w:tcPr>
            <w:tcW w:w="730" w:type="dxa"/>
          </w:tcPr>
          <w:p>
            <w:pPr>
              <w:pStyle w:val="Compact"/>
              <w:keepNext/>
              <w:spacing w:before="0" w:after="0"/>
              <w:ind w:firstLine="0"/>
              <w:jc w:val="center"/>
            </w:pPr>
            <w:r>
              <w:rPr>
                <w:sz w:val="16"/>
              </w:rPr>
              <w:t xml:space="preserve">7.15</w:t>
            </w:r>
          </w:p>
        </w:tc>
        <w:tc>
          <w:tcPr>
            <w:tcW w:w="633" w:type="dxa"/>
          </w:tcPr>
          <w:p>
            <w:pPr>
              <w:pStyle w:val="Compact"/>
              <w:keepNext/>
              <w:spacing w:before="0" w:after="0"/>
              <w:ind w:firstLine="0"/>
              <w:jc w:val="center"/>
            </w:pPr>
            <w:r>
              <w:rPr>
                <w:sz w:val="16"/>
              </w:rPr>
              <w:t xml:space="preserve">0.48</w:t>
            </w:r>
          </w:p>
        </w:tc>
        <w:tc>
          <w:tcPr>
            <w:tcW w:w="779" w:type="dxa"/>
          </w:tcPr>
          <w:p>
            <w:pPr>
              <w:pStyle w:val="Compact"/>
              <w:keepNext/>
              <w:spacing w:before="0" w:after="0"/>
              <w:ind w:firstLine="0"/>
              <w:jc w:val="center"/>
            </w:pPr>
            <w:r>
              <w:rPr>
                <w:sz w:val="16"/>
              </w:rPr>
              <w:t xml:space="preserve">84.80</w:t>
            </w:r>
          </w:p>
        </w:tc>
        <w:tc>
          <w:tcPr>
            <w:tcW w:w="782" w:type="dxa"/>
          </w:tcPr>
          <w:p>
            <w:pPr>
              <w:pStyle w:val="Compact"/>
              <w:keepNext/>
              <w:spacing w:before="0" w:after="0"/>
              <w:ind w:firstLine="0"/>
              <w:jc w:val="center"/>
            </w:pPr>
            <w:r>
              <w:rPr>
                <w:sz w:val="16"/>
              </w:rPr>
              <w:t xml:space="preserve">87.65</w:t>
            </w:r>
          </w:p>
        </w:tc>
      </w:tr>
      <w:tr>
        <w:tc>
          <w:tcPr>
            <w:tcW w:w="1949" w:type="dxa"/>
          </w:tcPr>
          <w:p>
            <w:pPr>
              <w:pStyle w:val="Compact"/>
              <w:keepNext/>
              <w:spacing w:before="0" w:after="0"/>
              <w:ind w:firstLine="0"/>
            </w:pPr>
            <w:r>
              <w:rPr>
                <w:sz w:val="16"/>
              </w:rPr>
              <w:t xml:space="preserve">Hybrid, no rule bias (</w:t>
            </w:r>
            <m:oMath>
              <m:r>
                <m:t>γ</m:t>
              </m:r>
              <m:r>
                <m:rPr>
                  <m:sty m:val="p"/>
                </m:rPr>
                <m:t>=</m:t>
              </m:r>
              <m:r>
                <m:t>0</m:t>
              </m:r>
            </m:oMath>
            <w:r>
              <w:rPr>
                <w:sz w:val="16"/>
              </w:rPr>
              <w:t xml:space="preserve">)</w:t>
            </w:r>
          </w:p>
        </w:tc>
        <w:tc>
          <w:tcPr>
            <w:tcW w:w="730" w:type="dxa"/>
          </w:tcPr>
          <w:p>
            <w:pPr>
              <w:pStyle w:val="Compact"/>
              <w:keepNext/>
              <w:spacing w:before="0" w:after="0"/>
              <w:ind w:firstLine="0"/>
              <w:jc w:val="center"/>
            </w:pPr>
            <w:r>
              <w:rPr>
                <w:sz w:val="16"/>
              </w:rPr>
              <w:t xml:space="preserve">8.32</w:t>
            </w:r>
          </w:p>
        </w:tc>
        <w:tc>
          <w:tcPr>
            <w:tcW w:w="633" w:type="dxa"/>
          </w:tcPr>
          <w:p>
            <w:pPr>
              <w:pStyle w:val="Compact"/>
              <w:keepNext/>
              <w:spacing w:before="0" w:after="0"/>
              <w:ind w:firstLine="0"/>
              <w:jc w:val="center"/>
            </w:pPr>
            <w:r>
              <w:rPr>
                <w:sz w:val="16"/>
              </w:rPr>
              <w:t xml:space="preserve">0.55</w:t>
            </w:r>
          </w:p>
        </w:tc>
        <w:tc>
          <w:tcPr>
            <w:tcW w:w="779" w:type="dxa"/>
          </w:tcPr>
          <w:p>
            <w:pPr>
              <w:pStyle w:val="Compact"/>
              <w:keepNext/>
              <w:spacing w:before="0" w:after="0"/>
              <w:ind w:firstLine="0"/>
              <w:jc w:val="center"/>
            </w:pPr>
            <w:r>
              <w:rPr>
                <w:sz w:val="16"/>
              </w:rPr>
              <w:t xml:space="preserve">82.60</w:t>
            </w:r>
          </w:p>
        </w:tc>
        <w:tc>
          <w:tcPr>
            <w:tcW w:w="782" w:type="dxa"/>
          </w:tcPr>
          <w:p>
            <w:pPr>
              <w:pStyle w:val="Compact"/>
              <w:keepNext/>
              <w:spacing w:before="0" w:after="0"/>
              <w:ind w:firstLine="0"/>
              <w:jc w:val="center"/>
            </w:pPr>
            <w:r>
              <w:rPr>
                <w:sz w:val="16"/>
              </w:rPr>
              <w:t xml:space="preserve">85.90</w:t>
            </w:r>
          </w:p>
        </w:tc>
      </w:tr>
      <w:tr>
        <w:tc>
          <w:tcPr>
            <w:tcW w:w="1949" w:type="dxa"/>
          </w:tcPr>
          <w:p>
            <w:pPr>
              <w:pStyle w:val="Compact"/>
              <w:spacing w:before="0" w:after="0"/>
              <w:ind w:firstLine="0"/>
            </w:pPr>
            <w:r>
              <w:rPr>
                <w:bCs/>
                <w:b/>
                <w:sz w:val="16"/>
              </w:rPr>
              <w:t xml:space="preserve">Proposed full hybrid</w:t>
            </w:r>
          </w:p>
        </w:tc>
        <w:tc>
          <w:tcPr>
            <w:tcW w:w="730" w:type="dxa"/>
          </w:tcPr>
          <w:p>
            <w:pPr>
              <w:pStyle w:val="Compact"/>
              <w:spacing w:before="0" w:after="0"/>
              <w:ind w:firstLine="0"/>
              <w:jc w:val="center"/>
            </w:pPr>
            <w:r>
              <w:rPr>
                <w:bCs/>
                <w:b/>
                <w:sz w:val="16"/>
              </w:rPr>
              <w:t xml:space="preserve">6.12</w:t>
            </w:r>
          </w:p>
        </w:tc>
        <w:tc>
          <w:tcPr>
            <w:tcW w:w="633" w:type="dxa"/>
          </w:tcPr>
          <w:p>
            <w:pPr>
              <w:pStyle w:val="Compact"/>
              <w:spacing w:before="0" w:after="0"/>
              <w:ind w:firstLine="0"/>
              <w:jc w:val="center"/>
            </w:pPr>
            <w:r>
              <w:rPr>
                <w:bCs/>
                <w:b/>
                <w:sz w:val="16"/>
              </w:rPr>
              <w:t xml:space="preserve">0.41</w:t>
            </w:r>
          </w:p>
        </w:tc>
        <w:tc>
          <w:tcPr>
            <w:tcW w:w="779" w:type="dxa"/>
          </w:tcPr>
          <w:p>
            <w:pPr>
              <w:pStyle w:val="Compact"/>
              <w:spacing w:before="0" w:after="0"/>
              <w:ind w:firstLine="0"/>
              <w:jc w:val="center"/>
            </w:pPr>
            <w:r>
              <w:rPr>
                <w:bCs/>
                <w:b/>
                <w:sz w:val="16"/>
              </w:rPr>
              <w:t xml:space="preserve">87.25</w:t>
            </w:r>
          </w:p>
        </w:tc>
        <w:tc>
          <w:tcPr>
            <w:tcW w:w="782" w:type="dxa"/>
          </w:tcPr>
          <w:p>
            <w:pPr>
              <w:pStyle w:val="Compact"/>
              <w:spacing w:before="0" w:after="0"/>
              <w:ind w:firstLine="0"/>
              <w:jc w:val="center"/>
            </w:pPr>
            <w:r>
              <w:rPr>
                <w:bCs/>
                <w:b/>
                <w:sz w:val="16"/>
              </w:rPr>
              <w:t xml:space="preserve">89.43</w:t>
            </w:r>
          </w:p>
        </w:tc>
      </w:tr>
    </w:tbl>
    <w:p>
      <w:pPr>
        <w:pStyle w:val="CaptionedFigure"/>
        <w:jc w:val="center"/>
      </w:pPr>
      <w:r>
        <w:drawing>
          <wp:inline>
            <wp:extent cx="3017520" cy="2029022"/>
            <wp:effectExtent b="0" l="0" r="0" t="0"/>
            <wp:docPr descr="Character Error Rate of all systems on the test set (lower is better)." title="" id="29" name="Picture"/>
            <a:graphic>
              <a:graphicData uri="http://schemas.openxmlformats.org/drawingml/2006/picture">
                <pic:pic>
                  <pic:nvPicPr>
                    <pic:cNvPr descr="fig2_cer.png" id="30" name="Picture"/>
                    <pic:cNvPicPr>
                      <a:picLocks noChangeArrowheads="1" noChangeAspect="1"/>
                    </pic:cNvPicPr>
                  </pic:nvPicPr>
                  <pic:blipFill>
                    <a:blip r:embed="rId28"/>
                    <a:stretch>
                      <a:fillRect/>
                    </a:stretch>
                  </pic:blipFill>
                  <pic:spPr bwMode="auto">
                    <a:xfrm>
                      <a:off x="0" y="0"/>
                      <a:ext cx="3017520" cy="2029022"/>
                    </a:xfrm>
                    <a:prstGeom prst="rect">
                      <a:avLst/>
                    </a:prstGeom>
                    <a:noFill/>
                    <a:ln w="9525">
                      <a:noFill/>
                      <a:headEnd/>
                      <a:tailEnd/>
                    </a:ln>
                  </pic:spPr>
                </pic:pic>
              </a:graphicData>
            </a:graphic>
          </wp:inline>
        </w:drawing>
      </w:r>
    </w:p>
    <w:p>
      <w:pPr>
        <w:pStyle w:val="ImageCaption"/>
        <w:jc w:val="center"/>
      </w:pPr>
      <w:r>
        <w:t xml:space="preserve">Character Error Rate of all systems on the test set (lower is better).</w:t>
      </w:r>
    </w:p>
    <w:p>
      <w:pPr>
        <w:pStyle w:val="BodyText"/>
      </w:pPr>
      <w:r>
        <w:rPr>
          <w:bCs/>
          <w:b/>
        </w:rPr>
        <w:t xml:space="preserve">B. Quantitative analysis.</w:t>
      </w:r>
      <w:r>
        <w:t xml:space="preserve"> </w:t>
      </w:r>
      <w:r>
        <w:t xml:space="preserve">The full hybrid framework outperforms both symbolic and unconstrained neural baselines on every metric (Table IV, Fig. 2). The rule FST engine reaches 18.42% CER; it models regular changes accurately but fails on irregular items, loanwords, and late dialectal innovations. The vanilla Transformer lowers CER to 11.20% but keeps a high PED of 0.76 because it produces articulatorily distant phonemes. Against the strongest neural baseline, the unconstrained reflex Transformer, the full model cuts CER from 9.84% to 6.12%, an absolute reduction of 3.72 points (37.8% relative), and lowers PED from 0.62 to 0.41.</w:t>
      </w:r>
    </w:p>
    <w:p>
      <w:pPr>
        <w:pStyle w:val="BodyText"/>
      </w:pPr>
      <w:r>
        <w:rPr>
          <w:bCs/>
          <w:b/>
        </w:rPr>
        <w:t xml:space="preserve">C. Ablation study.</w:t>
      </w:r>
      <w:r>
        <w:t xml:space="preserve"> </w:t>
      </w:r>
      <w:r>
        <w:t xml:space="preserve">Setting</w:t>
      </w:r>
      <w:r>
        <w:t xml:space="preserve"> </w:t>
      </w:r>
      <m:oMath>
        <m:r>
          <m:t>γ</m:t>
        </m:r>
        <m:r>
          <m:rPr>
            <m:sty m:val="p"/>
          </m:rPr>
          <m:t>=</m:t>
        </m:r>
        <m:r>
          <m:t>0</m:t>
        </m:r>
      </m:oMath>
      <w:r>
        <w:t xml:space="preserve"> </w:t>
      </w:r>
      <w:r>
        <w:t xml:space="preserve">removes the rule-biased attention and raises CER by 2.20 points (6.12% to 8.32%), showing that rule bias keeps the decoder out of phonotactically illegal output space. Setting</w:t>
      </w:r>
      <w:r>
        <w:t xml:space="preserve"> </w:t>
      </w:r>
      <m:oMath>
        <m:sSub>
          <m:e>
            <m:r>
              <m:t>λ</m:t>
            </m:r>
          </m:e>
          <m:sub>
            <m:r>
              <m:t>2</m:t>
            </m:r>
          </m:sub>
        </m:sSub>
        <m:r>
          <m:rPr>
            <m:sty m:val="p"/>
          </m:rPr>
          <m:t>=</m:t>
        </m:r>
        <m:r>
          <m:t>0</m:t>
        </m:r>
      </m:oMath>
      <w:r>
        <w:t xml:space="preserve"> </w:t>
      </w:r>
      <w:r>
        <w:t xml:space="preserve">removes the contrastive drift loss and raises CER to 7.15%, indicating that semantic grounding helps choose among competing reflexes for polysemous roots. Relative to the vanilla Transformer, the full model reduces PED from 0.76 to 0.41, so its remaining errors fall mostly among phonetically similar segments.</w:t>
      </w:r>
    </w:p>
    <w:p>
      <w:pPr>
        <w:pStyle w:val="BodyText"/>
      </w:pPr>
      <w:r>
        <w:rPr>
          <w:bCs/>
          <w:b/>
        </w:rPr>
        <w:t xml:space="preserve">D. Qualitative derivation audit.</w:t>
      </w:r>
      <w:r>
        <w:t xml:space="preserve"> </w:t>
      </w:r>
      <w:r>
        <w:t xml:space="preserve">Table V shows reconstructed forms and the sound laws logged for each. For</w:t>
      </w:r>
      <w:r>
        <w:t xml:space="preserve"> </w:t>
      </w:r>
      <w:r>
        <w:rPr>
          <w:iCs/>
          <w:i/>
        </w:rPr>
        <w:t xml:space="preserve">hasta</w:t>
      </w:r>
      <w:r>
        <w:t xml:space="preserve">, the module records cluster assimilation (R2) giving</w:t>
      </w:r>
      <w:r>
        <w:t xml:space="preserve"> </w:t>
      </w:r>
      <w:r>
        <w:rPr>
          <w:iCs/>
          <w:i/>
        </w:rPr>
        <w:t xml:space="preserve">hattha</w:t>
      </w:r>
      <w:r>
        <w:t xml:space="preserve">, then degemination with compensatory lengthening (R3) and final vowel deletion (R5), matching the attested pathway. Unlike black-box models, the framework exposes every applied law, which meets the interpretability requirement of historical linguistics.</w:t>
      </w:r>
    </w:p>
    <w:p>
      <w:pPr>
        <w:pStyle w:val="TableCaption"/>
        <w:keepNext/>
        <w:spacing w:before="120" w:after="60"/>
        <w:ind w:firstLine="0"/>
        <w:jc w:val="center"/>
      </w:pPr>
      <w:r>
        <w:rPr>
          <w:rFonts w:ascii="Times New Roman" w:hAnsi="Times New Roman"/>
          <w:i w:val="0"/>
          <w:smallCaps/>
          <w:sz w:val="16"/>
        </w:rPr>
        <w:t xml:space="preserve">TABLE V</w:t>
      </w:r>
      <w:r>
        <w:rPr>
          <w:rFonts w:ascii="Times New Roman" w:hAnsi="Times New Roman"/>
          <w:i w:val="0"/>
          <w:smallCaps/>
          <w:sz w:val="16"/>
        </w:rPr>
        <w:br/>
      </w:r>
      <w:r>
        <w:rPr>
          <w:rFonts w:ascii="Times New Roman" w:hAnsi="Times New Roman"/>
          <w:i w:val="0"/>
          <w:smallCaps/>
          <w:sz w:val="16"/>
        </w:rPr>
        <w:t xml:space="preserve">Sample Reconstructions and Fired Sound Laws</w:t>
      </w:r>
    </w:p>
    <w:tbl>
      <w:tblPr>
        <w:tblW w:w="4873" w:type="dxa"/>
        <w:tblBorders>
          <w:top w:val="single" w:sz="8" w:space="0" w:color="000000"/>
          <w:bottom w:val="single" w:sz="8" w:space="0" w:color="000000"/>
          <w:insideH w:val="single" w:sz="2" w:space="0" w:color="999999"/>
        </w:tblBorders>
        <w:tblLayout w:type="fixed"/>
        <w:tblCellMar>
          <w:top w:w="20" w:type="dxa"/>
          <w:left w:w="50" w:type="dxa"/>
          <w:bottom w:w="20" w:type="dxa"/>
          <w:right w:w="50" w:type="dxa"/>
        </w:tblCellMar>
      </w:tblPr>
      <w:tblGrid>
        <w:gridCol w:w="1218"/>
        <w:gridCol w:w="974"/>
        <w:gridCol w:w="1461"/>
        <w:gridCol w:w="1220"/>
      </w:tblGrid>
      <w:tr>
        <w:trPr>
          <w:tblHeader w:val="true"/>
        </w:trPr>
        <w:tc>
          <w:tcPr>
            <w:tcW w:w="1218" w:type="dxa"/>
            <w:tcBorders>
              <w:bottom w:val="single" w:sz="6" w:space="0" w:color="000000"/>
            </w:tcBorders>
          </w:tcPr>
          <w:p>
            <w:pPr>
              <w:pStyle w:val="Compact"/>
              <w:keepNext/>
              <w:spacing w:before="0" w:after="0"/>
              <w:ind w:firstLine="0"/>
            </w:pPr>
            <w:r>
              <w:rPr>
                <w:b/>
                <w:sz w:val="16"/>
              </w:rPr>
              <w:t xml:space="preserve">Sanskrit</w:t>
            </w:r>
          </w:p>
        </w:tc>
        <w:tc>
          <w:tcPr>
            <w:tcW w:w="974" w:type="dxa"/>
            <w:tcBorders>
              <w:bottom w:val="single" w:sz="6" w:space="0" w:color="000000"/>
            </w:tcBorders>
          </w:tcPr>
          <w:p>
            <w:pPr>
              <w:pStyle w:val="Compact"/>
              <w:keepNext/>
              <w:spacing w:before="0" w:after="0"/>
              <w:ind w:firstLine="0"/>
            </w:pPr>
            <w:r>
              <w:rPr>
                <w:b/>
                <w:sz w:val="16"/>
              </w:rPr>
              <w:t xml:space="preserve">Prakrit</w:t>
            </w:r>
          </w:p>
        </w:tc>
        <w:tc>
          <w:tcPr>
            <w:tcW w:w="1461" w:type="dxa"/>
            <w:tcBorders>
              <w:bottom w:val="single" w:sz="6" w:space="0" w:color="000000"/>
            </w:tcBorders>
          </w:tcPr>
          <w:p>
            <w:pPr>
              <w:pStyle w:val="Compact"/>
              <w:keepNext/>
              <w:spacing w:before="0" w:after="0"/>
              <w:ind w:firstLine="0"/>
            </w:pPr>
            <w:r>
              <w:rPr>
                <w:b/>
                <w:sz w:val="16"/>
              </w:rPr>
              <w:t xml:space="preserve">Reconstructed Marathi</w:t>
            </w:r>
          </w:p>
        </w:tc>
        <w:tc>
          <w:tcPr>
            <w:tcW w:w="1220" w:type="dxa"/>
            <w:tcBorders>
              <w:bottom w:val="single" w:sz="6" w:space="0" w:color="000000"/>
            </w:tcBorders>
          </w:tcPr>
          <w:p>
            <w:pPr>
              <w:pStyle w:val="Compact"/>
              <w:keepNext/>
              <w:spacing w:before="0" w:after="0"/>
              <w:ind w:firstLine="0"/>
            </w:pPr>
            <w:r>
              <w:rPr>
                <w:b/>
                <w:sz w:val="16"/>
              </w:rPr>
              <w:t xml:space="preserve">Laws fired</w:t>
            </w:r>
          </w:p>
        </w:tc>
      </w:tr>
      <w:tr>
        <w:tc>
          <w:tcPr>
            <w:tcW w:w="1218" w:type="dxa"/>
          </w:tcPr>
          <w:p>
            <w:pPr>
              <w:pStyle w:val="Compact"/>
              <w:keepNext/>
              <w:spacing w:before="0" w:after="0"/>
              <w:ind w:firstLine="0"/>
            </w:pPr>
            <w:r>
              <w:rPr>
                <w:iCs/>
                <w:i/>
                <w:sz w:val="16"/>
              </w:rPr>
              <w:t xml:space="preserve">hasta</w:t>
            </w:r>
            <w:r>
              <w:rPr>
                <w:sz w:val="16"/>
              </w:rPr>
              <w:t xml:space="preserve"> </w:t>
            </w:r>
            <w:r>
              <w:rPr>
                <w:sz w:val="16"/>
              </w:rPr>
              <w:t xml:space="preserve">(हस्त)</w:t>
            </w:r>
          </w:p>
        </w:tc>
        <w:tc>
          <w:tcPr>
            <w:tcW w:w="974" w:type="dxa"/>
          </w:tcPr>
          <w:p>
            <w:pPr>
              <w:pStyle w:val="Compact"/>
              <w:keepNext/>
              <w:spacing w:before="0" w:after="0"/>
              <w:ind w:firstLine="0"/>
            </w:pPr>
            <w:r>
              <w:rPr>
                <w:iCs/>
                <w:i/>
                <w:sz w:val="16"/>
              </w:rPr>
              <w:t xml:space="preserve">hattha</w:t>
            </w:r>
          </w:p>
        </w:tc>
        <w:tc>
          <w:tcPr>
            <w:tcW w:w="1461" w:type="dxa"/>
          </w:tcPr>
          <w:p>
            <w:pPr>
              <w:pStyle w:val="Compact"/>
              <w:keepNext/>
              <w:spacing w:before="0" w:after="0"/>
              <w:ind w:firstLine="0"/>
            </w:pPr>
            <w:r>
              <w:rPr>
                <w:iCs/>
                <w:i/>
                <w:sz w:val="16"/>
              </w:rPr>
              <w:t xml:space="preserve">hāt</w:t>
            </w:r>
            <w:r>
              <w:rPr>
                <w:sz w:val="16"/>
              </w:rPr>
              <w:t xml:space="preserve"> </w:t>
            </w:r>
            <w:r>
              <w:rPr>
                <w:sz w:val="16"/>
              </w:rPr>
              <w:t xml:space="preserve">(हात)</w:t>
            </w:r>
          </w:p>
        </w:tc>
        <w:tc>
          <w:tcPr>
            <w:tcW w:w="1220" w:type="dxa"/>
          </w:tcPr>
          <w:p>
            <w:pPr>
              <w:pStyle w:val="Compact"/>
              <w:keepNext/>
              <w:spacing w:before="0" w:after="0"/>
              <w:ind w:firstLine="0"/>
            </w:pPr>
            <w:r>
              <w:rPr>
                <w:sz w:val="16"/>
              </w:rPr>
              <w:t xml:space="preserve">R2, R3, R5</w:t>
            </w:r>
          </w:p>
        </w:tc>
      </w:tr>
      <w:tr>
        <w:tc>
          <w:tcPr>
            <w:tcW w:w="1218" w:type="dxa"/>
          </w:tcPr>
          <w:p>
            <w:pPr>
              <w:pStyle w:val="Compact"/>
              <w:keepNext/>
              <w:spacing w:before="0" w:after="0"/>
              <w:ind w:firstLine="0"/>
            </w:pPr>
            <w:r>
              <w:rPr>
                <w:iCs/>
                <w:i/>
                <w:sz w:val="16"/>
              </w:rPr>
              <w:t xml:space="preserve">bhakta</w:t>
            </w:r>
            <w:r>
              <w:rPr>
                <w:sz w:val="16"/>
              </w:rPr>
              <w:t xml:space="preserve"> </w:t>
            </w:r>
            <w:r>
              <w:rPr>
                <w:sz w:val="16"/>
              </w:rPr>
              <w:t xml:space="preserve">(भक्त)</w:t>
            </w:r>
          </w:p>
        </w:tc>
        <w:tc>
          <w:tcPr>
            <w:tcW w:w="974" w:type="dxa"/>
          </w:tcPr>
          <w:p>
            <w:pPr>
              <w:pStyle w:val="Compact"/>
              <w:keepNext/>
              <w:spacing w:before="0" w:after="0"/>
              <w:ind w:firstLine="0"/>
            </w:pPr>
            <w:r>
              <w:rPr>
                <w:iCs/>
                <w:i/>
                <w:sz w:val="16"/>
              </w:rPr>
              <w:t xml:space="preserve">bhatta</w:t>
            </w:r>
          </w:p>
        </w:tc>
        <w:tc>
          <w:tcPr>
            <w:tcW w:w="1461" w:type="dxa"/>
          </w:tcPr>
          <w:p>
            <w:pPr>
              <w:pStyle w:val="Compact"/>
              <w:keepNext/>
              <w:spacing w:before="0" w:after="0"/>
              <w:ind w:firstLine="0"/>
            </w:pPr>
            <w:r>
              <w:rPr>
                <w:iCs/>
                <w:i/>
                <w:sz w:val="16"/>
              </w:rPr>
              <w:t xml:space="preserve">bhāt</w:t>
            </w:r>
            <w:r>
              <w:rPr>
                <w:sz w:val="16"/>
              </w:rPr>
              <w:t xml:space="preserve"> </w:t>
            </w:r>
            <w:r>
              <w:rPr>
                <w:sz w:val="16"/>
              </w:rPr>
              <w:t xml:space="preserve">(भात)</w:t>
            </w:r>
          </w:p>
        </w:tc>
        <w:tc>
          <w:tcPr>
            <w:tcW w:w="1220" w:type="dxa"/>
          </w:tcPr>
          <w:p>
            <w:pPr>
              <w:pStyle w:val="Compact"/>
              <w:keepNext/>
              <w:spacing w:before="0" w:after="0"/>
              <w:ind w:firstLine="0"/>
            </w:pPr>
            <w:r>
              <w:rPr>
                <w:sz w:val="16"/>
              </w:rPr>
              <w:t xml:space="preserve">R2, R3, R5</w:t>
            </w:r>
          </w:p>
        </w:tc>
      </w:tr>
      <w:tr>
        <w:tc>
          <w:tcPr>
            <w:tcW w:w="1218" w:type="dxa"/>
          </w:tcPr>
          <w:p>
            <w:pPr>
              <w:pStyle w:val="Compact"/>
              <w:keepNext/>
              <w:spacing w:before="0" w:after="0"/>
              <w:ind w:firstLine="0"/>
            </w:pPr>
            <w:r>
              <w:rPr>
                <w:iCs/>
                <w:i/>
                <w:sz w:val="16"/>
              </w:rPr>
              <w:t xml:space="preserve">pānīya</w:t>
            </w:r>
            <w:r>
              <w:rPr>
                <w:sz w:val="16"/>
              </w:rPr>
              <w:t xml:space="preserve"> </w:t>
            </w:r>
            <w:r>
              <w:rPr>
                <w:sz w:val="16"/>
              </w:rPr>
              <w:t xml:space="preserve">(पानीय)</w:t>
            </w:r>
          </w:p>
        </w:tc>
        <w:tc>
          <w:tcPr>
            <w:tcW w:w="974" w:type="dxa"/>
          </w:tcPr>
          <w:p>
            <w:pPr>
              <w:pStyle w:val="Compact"/>
              <w:keepNext/>
              <w:spacing w:before="0" w:after="0"/>
              <w:ind w:firstLine="0"/>
            </w:pPr>
            <w:r>
              <w:rPr>
                <w:iCs/>
                <w:i/>
                <w:sz w:val="16"/>
              </w:rPr>
              <w:t xml:space="preserve">pāṇia</w:t>
            </w:r>
          </w:p>
        </w:tc>
        <w:tc>
          <w:tcPr>
            <w:tcW w:w="1461" w:type="dxa"/>
          </w:tcPr>
          <w:p>
            <w:pPr>
              <w:pStyle w:val="Compact"/>
              <w:keepNext/>
              <w:spacing w:before="0" w:after="0"/>
              <w:ind w:firstLine="0"/>
            </w:pPr>
            <w:r>
              <w:rPr>
                <w:iCs/>
                <w:i/>
                <w:sz w:val="16"/>
              </w:rPr>
              <w:t xml:space="preserve">pāṇī</w:t>
            </w:r>
            <w:r>
              <w:rPr>
                <w:sz w:val="16"/>
              </w:rPr>
              <w:t xml:space="preserve"> </w:t>
            </w:r>
            <w:r>
              <w:rPr>
                <w:sz w:val="16"/>
              </w:rPr>
              <w:t xml:space="preserve">(पाणी)</w:t>
            </w:r>
          </w:p>
        </w:tc>
        <w:tc>
          <w:tcPr>
            <w:tcW w:w="1220" w:type="dxa"/>
          </w:tcPr>
          <w:p>
            <w:pPr>
              <w:pStyle w:val="Compact"/>
              <w:keepNext/>
              <w:spacing w:before="0" w:after="0"/>
              <w:ind w:firstLine="0"/>
            </w:pPr>
            <w:r>
              <w:rPr>
                <w:sz w:val="16"/>
              </w:rPr>
              <w:t xml:space="preserve">R4, R1</w:t>
            </w:r>
          </w:p>
        </w:tc>
      </w:tr>
      <w:tr>
        <w:tc>
          <w:tcPr>
            <w:tcW w:w="1218" w:type="dxa"/>
          </w:tcPr>
          <w:p>
            <w:pPr>
              <w:pStyle w:val="Compact"/>
              <w:spacing w:before="0" w:after="0"/>
              <w:ind w:firstLine="0"/>
            </w:pPr>
            <w:r>
              <w:rPr>
                <w:iCs/>
                <w:i/>
                <w:sz w:val="16"/>
              </w:rPr>
              <w:t xml:space="preserve">sarpa</w:t>
            </w:r>
            <w:r>
              <w:rPr>
                <w:sz w:val="16"/>
              </w:rPr>
              <w:t xml:space="preserve"> </w:t>
            </w:r>
            <w:r>
              <w:rPr>
                <w:sz w:val="16"/>
              </w:rPr>
              <w:t xml:space="preserve">(सर्प)</w:t>
            </w:r>
          </w:p>
        </w:tc>
        <w:tc>
          <w:tcPr>
            <w:tcW w:w="974" w:type="dxa"/>
          </w:tcPr>
          <w:p>
            <w:pPr>
              <w:pStyle w:val="Compact"/>
              <w:spacing w:before="0" w:after="0"/>
              <w:ind w:firstLine="0"/>
            </w:pPr>
            <w:r>
              <w:rPr>
                <w:iCs/>
                <w:i/>
                <w:sz w:val="16"/>
              </w:rPr>
              <w:t xml:space="preserve">sappa</w:t>
            </w:r>
          </w:p>
        </w:tc>
        <w:tc>
          <w:tcPr>
            <w:tcW w:w="1461" w:type="dxa"/>
          </w:tcPr>
          <w:p>
            <w:pPr>
              <w:pStyle w:val="Compact"/>
              <w:spacing w:before="0" w:after="0"/>
              <w:ind w:firstLine="0"/>
            </w:pPr>
            <w:r>
              <w:rPr>
                <w:iCs/>
                <w:i/>
                <w:sz w:val="16"/>
              </w:rPr>
              <w:t xml:space="preserve">sāp</w:t>
            </w:r>
            <w:r>
              <w:rPr>
                <w:sz w:val="16"/>
              </w:rPr>
              <w:t xml:space="preserve"> </w:t>
            </w:r>
            <w:r>
              <w:rPr>
                <w:sz w:val="16"/>
              </w:rPr>
              <w:t xml:space="preserve">(साप)</w:t>
            </w:r>
          </w:p>
        </w:tc>
        <w:tc>
          <w:tcPr>
            <w:tcW w:w="1220" w:type="dxa"/>
          </w:tcPr>
          <w:p>
            <w:pPr>
              <w:pStyle w:val="Compact"/>
              <w:spacing w:before="0" w:after="0"/>
              <w:ind w:firstLine="0"/>
            </w:pPr>
            <w:r>
              <w:rPr>
                <w:sz w:val="16"/>
              </w:rPr>
              <w:t xml:space="preserve">R2, R3, R5</w:t>
            </w:r>
          </w:p>
        </w:tc>
      </w:tr>
    </w:tbl>
    <w:bookmarkEnd w:id="31"/>
    <w:bookmarkStart w:id="32" w:name="vii.-limitations"/>
    <w:p>
      <w:pPr>
        <w:pStyle w:val="Heading1"/>
      </w:pPr>
      <w:r>
        <w:t xml:space="preserve">VII. Limitations</w:t>
      </w:r>
    </w:p>
    <w:p>
      <w:pPr>
        <w:pStyle w:val="FirstParagraph"/>
      </w:pPr>
      <w:r>
        <w:t xml:space="preserve">Several constraints remain. First, corpus scale: 12,500 cognate pairs is large for historical linguistics but modest by modern NLP standards, which limits resolution of rare lexical exceptions. Second, Marathi was shaped by contact with Dravidian languages, which contributed non-Indo-European</w:t>
      </w:r>
      <w:r>
        <w:t xml:space="preserve"> </w:t>
      </w:r>
      <w:r>
        <w:rPr>
          <w:iCs/>
          <w:i/>
        </w:rPr>
        <w:t xml:space="preserve">deshya</w:t>
      </w:r>
      <w:r>
        <w:t xml:space="preserve"> </w:t>
      </w:r>
      <w:r>
        <w:t xml:space="preserve">vocabulary and influenced retroflexion; because the rule engine encodes Indo-Aryan sound laws, accuracy drops on loanwords and substrate-influenced items. Third, semantic changes such as metaphorical extension and pejoration are non-deterministic and hard to capture with continuous embeddings alone. Fourth, building and applying rule constraint matrices during decoding adds latency compared with unconstrained Transformer inference. Finally, the random stratified split may let related root families appear in both training and test sets; evaluation on root-family-disjoint splits is needed to confirm generalization to truly unseen etymologies.</w:t>
      </w:r>
    </w:p>
    <w:bookmarkEnd w:id="32"/>
    <w:bookmarkStart w:id="33" w:name="viii.-conclusion-and-future-work"/>
    <w:p>
      <w:pPr>
        <w:pStyle w:val="Heading1"/>
      </w:pPr>
      <w:r>
        <w:t xml:space="preserve">VIII. Conclusion and Future Work</w:t>
      </w:r>
    </w:p>
    <w:p>
      <w:pPr>
        <w:pStyle w:val="FirstParagraph"/>
      </w:pPr>
      <w:r>
        <w:t xml:space="preserve">This paper presented a hybrid artificial intelligence framework that reconstructs the diachronic evolution of Marathi lexical forms from Sanskrit roots, bridging traditional historical linguistics and neural sequence modeling. By combining a symbolic engine of Indo-Aryan sound laws with an IPA-grounded Transformer, the architecture addresses three failure modes of unconstrained neural models: phonological hallucination, lack of explainability, and poor generalization on low-resource historical corpora.</w:t>
      </w:r>
    </w:p>
    <w:p>
      <w:pPr>
        <w:pStyle w:val="BodyText"/>
      </w:pPr>
      <w:r>
        <w:t xml:space="preserve">Integrating PanPhon articulatory features with rule-constrained cross-attention achieved a 6.12% CER and a 0.41 PED on a curated corpus of 12,500 cognate pairs, outperforming all baselines, and ablations confirmed that both the rule bias and the semantic drift objective contribute. The framework also emits interpretable derivation traces that show intermediate Maharashtri Prakrit and Apabhraṃśa stages with the rule identifiers applied.</w:t>
      </w:r>
    </w:p>
    <w:p>
      <w:pPr>
        <w:pStyle w:val="BodyText"/>
      </w:pPr>
      <w:r>
        <w:t xml:space="preserve">Future work will pursue four directions. First, the architecture will be extended to a multi-task phylogenetic model that traces the divergence of sister New Indo-Aryan languages, including Gujarati, Hindi, Konkani, and Bengali, from shared MIA etyma. Second, cycle-consistency objectives between daughter reflexes and ancestral forms [9] will support unsupervised recovery of unattested intermediate dialects without exhaustive gold annotations. Third, the engine will be interfaced with optical character recognition to help epigraphers restore and interpret damaged Modi-script and Devanagari inscriptions and manuscripts. Finally, the dataset, rule definitions, and pretrained models will be released as an open-source Python library for Indic computational historical linguistics and cultural preservation.</w:t>
      </w:r>
    </w:p>
    <w:bookmarkEnd w:id="33"/>
    <w:bookmarkStart w:id="34" w:name="references"/>
    <w:p>
      <w:pPr>
        <w:pStyle w:val="Heading1"/>
      </w:pPr>
      <w:r>
        <w:t xml:space="preserve">References</w:t>
      </w:r>
    </w:p>
    <w:p>
      <w:pPr>
        <w:pStyle w:val="Reference"/>
        <w:tabs>
          <w:tab w:pos="432" w:val="left"/>
        </w:tabs>
      </w:pPr>
      <w:r>
        <w:t>[1]</w:t>
        <w:tab/>
        <w:t>Press Information Bureau, Government of India,</w:t>
      </w:r>
      <w:r>
        <w:t xml:space="preserve"> </w:t>
      </w:r>
      <w:r>
        <w:t xml:space="preserve">“</w:t>
      </w:r>
      <w:r>
        <w:t xml:space="preserve">Cabinet approves conferring the status of Classical Language to Marathi, Pali, Prakrit, Assamese and Bengali,</w:t>
      </w:r>
      <w:r>
        <w:t xml:space="preserve">”</w:t>
      </w:r>
      <w:r>
        <w:t xml:space="preserve"> </w:t>
      </w:r>
      <w:r>
        <w:t xml:space="preserve">Oct. 3, 2024.</w:t>
      </w:r>
    </w:p>
    <w:p>
      <w:pPr>
        <w:pStyle w:val="Reference"/>
        <w:tabs>
          <w:tab w:pos="432" w:val="left"/>
        </w:tabs>
      </w:pPr>
      <w:r>
        <w:t>[2]</w:t>
        <w:tab/>
        <w:t>J. Bloch,</w:t>
      </w:r>
      <w:r>
        <w:t xml:space="preserve"> </w:t>
      </w:r>
      <w:r>
        <w:rPr>
          <w:iCs/>
          <w:i/>
        </w:rPr>
        <w:t xml:space="preserve">La formation de la langue marathe</w:t>
      </w:r>
      <w:r>
        <w:t xml:space="preserve">. Paris, France: Champion, 1920.</w:t>
      </w:r>
    </w:p>
    <w:p>
      <w:pPr>
        <w:pStyle w:val="Reference"/>
        <w:tabs>
          <w:tab w:pos="432" w:val="left"/>
        </w:tabs>
      </w:pPr>
      <w:r>
        <w:t>[3]</w:t>
        <w:tab/>
        <w:t>R. L. Turner,</w:t>
      </w:r>
      <w:r>
        <w:t xml:space="preserve"> </w:t>
      </w:r>
      <w:r>
        <w:rPr>
          <w:iCs/>
          <w:i/>
        </w:rPr>
        <w:t xml:space="preserve">A Comparative Dictionary of the Indo-Aryan Languages</w:t>
      </w:r>
      <w:r>
        <w:t xml:space="preserve">. London, U.K.: Oxford Univ. Press, 1966.</w:t>
      </w:r>
    </w:p>
    <w:p>
      <w:pPr>
        <w:pStyle w:val="Reference"/>
        <w:tabs>
          <w:tab w:pos="432" w:val="left"/>
        </w:tabs>
      </w:pPr>
      <w:r>
        <w:t>[4]</w:t>
        <w:tab/>
        <w:t>C. P. Masica,</w:t>
      </w:r>
      <w:r>
        <w:t xml:space="preserve"> </w:t>
      </w:r>
      <w:r>
        <w:rPr>
          <w:iCs/>
          <w:i/>
        </w:rPr>
        <w:t xml:space="preserve">The Indo-Aryan Languages</w:t>
      </w:r>
      <w:r>
        <w:t xml:space="preserve">. Cambridge, U.K.: Cambridge Univ. Press, 1991.</w:t>
      </w:r>
    </w:p>
    <w:p>
      <w:pPr>
        <w:pStyle w:val="Reference"/>
        <w:tabs>
          <w:tab w:pos="432" w:val="left"/>
        </w:tabs>
      </w:pPr>
      <w:r>
        <w:t>[5]</w:t>
        <w:tab/>
        <w:t>H. Osthoff and K. Brugmann,</w:t>
      </w:r>
      <w:r>
        <w:t xml:space="preserve"> </w:t>
      </w:r>
      <w:r>
        <w:rPr>
          <w:iCs/>
          <w:i/>
        </w:rPr>
        <w:t xml:space="preserve">Morphologische Untersuchungen auf dem Gebiete der indogermanischen Sprachen</w:t>
      </w:r>
      <w:r>
        <w:t xml:space="preserve">, vol. 1. Leipzig, Germany: Hirzel, 1878.</w:t>
      </w:r>
    </w:p>
    <w:p>
      <w:pPr>
        <w:pStyle w:val="Reference"/>
        <w:tabs>
          <w:tab w:pos="432" w:val="left"/>
        </w:tabs>
      </w:pPr>
      <w:r>
        <w:t>[6]</w:t>
        <w:tab/>
        <w:t>J. Bloch,</w:t>
      </w:r>
      <w:r>
        <w:t xml:space="preserve"> </w:t>
      </w:r>
      <w:r>
        <w:rPr>
          <w:iCs/>
          <w:i/>
        </w:rPr>
        <w:t xml:space="preserve">The Formation of the Marathi Language</w:t>
      </w:r>
      <w:r>
        <w:t xml:space="preserve">, D. R. Chanana, Trans. Delhi, India: Motilal Banarsidass, 1970.</w:t>
      </w:r>
    </w:p>
    <w:p>
      <w:pPr>
        <w:pStyle w:val="Reference"/>
        <w:tabs>
          <w:tab w:pos="432" w:val="left"/>
        </w:tabs>
      </w:pPr>
      <w:r>
        <w:t>[7]</w:t>
        <w:tab/>
        <w:t>A. Vaswani</w:t>
      </w:r>
      <w:r>
        <w:t xml:space="preserve"> </w:t>
      </w:r>
      <w:r>
        <w:rPr>
          <w:iCs/>
          <w:i/>
        </w:rPr>
        <w:t xml:space="preserve">et al.</w:t>
      </w:r>
      <w:r>
        <w:t xml:space="preserve">,</w:t>
      </w:r>
      <w:r>
        <w:t xml:space="preserve"> </w:t>
      </w:r>
      <w:r>
        <w:t xml:space="preserve">“</w:t>
      </w:r>
      <w:r>
        <w:t xml:space="preserve">Attention is all you need,</w:t>
      </w:r>
      <w:r>
        <w:t xml:space="preserve">”</w:t>
      </w:r>
      <w:r>
        <w:t xml:space="preserve"> </w:t>
      </w:r>
      <w:r>
        <w:t xml:space="preserve">in</w:t>
      </w:r>
      <w:r>
        <w:t xml:space="preserve"> </w:t>
      </w:r>
      <w:r>
        <w:rPr>
          <w:iCs/>
          <w:i/>
        </w:rPr>
        <w:t xml:space="preserve">Proc. Adv. Neural Inf. Process. Syst. (NeurIPS)</w:t>
      </w:r>
      <w:r>
        <w:t xml:space="preserve">, 2017, pp. 5998–6008.</w:t>
      </w:r>
    </w:p>
    <w:p>
      <w:pPr>
        <w:pStyle w:val="Reference"/>
        <w:tabs>
          <w:tab w:pos="432" w:val="left"/>
        </w:tabs>
      </w:pPr>
      <w:r>
        <w:t>[8]</w:t>
        <w:tab/>
        <w:t>R. Sennrich, B. Haddow, and A. Birch,</w:t>
      </w:r>
      <w:r>
        <w:t xml:space="preserve"> </w:t>
      </w:r>
      <w:r>
        <w:t xml:space="preserve">“</w:t>
      </w:r>
      <w:r>
        <w:t xml:space="preserve">Neural machine translation of rare words with subword units,</w:t>
      </w:r>
      <w:r>
        <w:t xml:space="preserve">”</w:t>
      </w:r>
      <w:r>
        <w:t xml:space="preserve"> </w:t>
      </w:r>
      <w:r>
        <w:t xml:space="preserve">in</w:t>
      </w:r>
      <w:r>
        <w:t xml:space="preserve"> </w:t>
      </w:r>
      <w:r>
        <w:rPr>
          <w:iCs/>
          <w:i/>
        </w:rPr>
        <w:t xml:space="preserve">Proc. 54th Annu. Meeting Assoc. Comput. Linguistics (ACL)</w:t>
      </w:r>
      <w:r>
        <w:t xml:space="preserve">, 2016, pp. 1715–1725.</w:t>
      </w:r>
    </w:p>
    <w:p>
      <w:pPr>
        <w:pStyle w:val="Reference"/>
        <w:tabs>
          <w:tab w:pos="432" w:val="left"/>
        </w:tabs>
      </w:pPr>
      <w:r>
        <w:t>[9]</w:t>
        <w:tab/>
        <w:t>L. Lu, P. Xie, and D. R. Mortensen,</w:t>
      </w:r>
      <w:r>
        <w:t xml:space="preserve"> </w:t>
      </w:r>
      <w:r>
        <w:t xml:space="preserve">“</w:t>
      </w:r>
      <w:r>
        <w:t xml:space="preserve">Semisupervised neural proto-language reconstruction,</w:t>
      </w:r>
      <w:r>
        <w:t xml:space="preserve">”</w:t>
      </w:r>
      <w:r>
        <w:t xml:space="preserve"> </w:t>
      </w:r>
      <w:r>
        <w:t xml:space="preserve">in</w:t>
      </w:r>
      <w:r>
        <w:t xml:space="preserve"> </w:t>
      </w:r>
      <w:r>
        <w:rPr>
          <w:iCs/>
          <w:i/>
        </w:rPr>
        <w:t xml:space="preserve">Proc. 62nd Annu. Meeting Assoc. Comput. Linguistics (ACL)</w:t>
      </w:r>
      <w:r>
        <w:t xml:space="preserve">, 2024.</w:t>
      </w:r>
    </w:p>
    <w:p>
      <w:pPr>
        <w:pStyle w:val="Reference"/>
        <w:tabs>
          <w:tab w:pos="432" w:val="left"/>
        </w:tabs>
      </w:pPr>
      <w:r>
        <w:t>[10]</w:t>
        <w:tab/>
        <w:t>Y. Madhani</w:t>
      </w:r>
      <w:r>
        <w:t xml:space="preserve"> </w:t>
      </w:r>
      <w:r>
        <w:rPr>
          <w:iCs/>
          <w:i/>
        </w:rPr>
        <w:t xml:space="preserve">et al.</w:t>
      </w:r>
      <w:r>
        <w:t xml:space="preserve">,</w:t>
      </w:r>
      <w:r>
        <w:t xml:space="preserve"> </w:t>
      </w:r>
      <w:r>
        <w:t xml:space="preserve">“</w:t>
      </w:r>
      <w:r>
        <w:t xml:space="preserve">Aksharantar: Open Indic-language transliteration datasets and models for the next billion users,</w:t>
      </w:r>
      <w:r>
        <w:t xml:space="preserve">”</w:t>
      </w:r>
      <w:r>
        <w:t xml:space="preserve"> </w:t>
      </w:r>
      <w:r>
        <w:t xml:space="preserve">in</w:t>
      </w:r>
      <w:r>
        <w:t xml:space="preserve"> </w:t>
      </w:r>
      <w:r>
        <w:rPr>
          <w:iCs/>
          <w:i/>
        </w:rPr>
        <w:t xml:space="preserve">Findings Assoc. Comput. Linguistics: EMNLP</w:t>
      </w:r>
      <w:r>
        <w:t xml:space="preserve">, 2023.</w:t>
      </w:r>
    </w:p>
    <w:p>
      <w:pPr>
        <w:pStyle w:val="Reference"/>
        <w:tabs>
          <w:tab w:pos="432" w:val="left"/>
        </w:tabs>
      </w:pPr>
      <w:r>
        <w:t>[11]</w:t>
        <w:tab/>
        <w:t>V. I. Levenshtein,</w:t>
      </w:r>
      <w:r>
        <w:t xml:space="preserve"> </w:t>
      </w:r>
      <w:r>
        <w:t xml:space="preserve">“</w:t>
      </w:r>
      <w:r>
        <w:t xml:space="preserve">Binary codes capable of correcting deletions, insertions, and reversals,</w:t>
      </w:r>
      <w:r>
        <w:t xml:space="preserve">”</w:t>
      </w:r>
      <w:r>
        <w:t xml:space="preserve"> </w:t>
      </w:r>
      <w:r>
        <w:rPr>
          <w:iCs/>
          <w:i/>
        </w:rPr>
        <w:t xml:space="preserve">Sov. Phys. Dokl.</w:t>
      </w:r>
      <w:r>
        <w:t xml:space="preserve">, vol. 10, no. 8, pp. 707–710, 1966.</w:t>
      </w:r>
    </w:p>
    <w:p>
      <w:pPr>
        <w:pStyle w:val="Reference"/>
        <w:tabs>
          <w:tab w:pos="432" w:val="left"/>
        </w:tabs>
      </w:pPr>
      <w:r>
        <w:t>[12]</w:t>
        <w:tab/>
        <w:t>R. Bouckaert</w:t>
      </w:r>
      <w:r>
        <w:t xml:space="preserve"> </w:t>
      </w:r>
      <w:r>
        <w:rPr>
          <w:iCs/>
          <w:i/>
        </w:rPr>
        <w:t xml:space="preserve">et al.</w:t>
      </w:r>
      <w:r>
        <w:t xml:space="preserve">,</w:t>
      </w:r>
      <w:r>
        <w:t xml:space="preserve"> </w:t>
      </w:r>
      <w:r>
        <w:t xml:space="preserve">“</w:t>
      </w:r>
      <w:r>
        <w:t xml:space="preserve">Mapping the origins and expansion of the Indo-European language family,</w:t>
      </w:r>
      <w:r>
        <w:t xml:space="preserve">”</w:t>
      </w:r>
      <w:r>
        <w:t xml:space="preserve"> </w:t>
      </w:r>
      <w:r>
        <w:rPr>
          <w:iCs/>
          <w:i/>
        </w:rPr>
        <w:t xml:space="preserve">Science</w:t>
      </w:r>
      <w:r>
        <w:t xml:space="preserve">, vol. 337, no. 6097, pp. 957–960, 2012.</w:t>
      </w:r>
    </w:p>
    <w:p>
      <w:pPr>
        <w:pStyle w:val="Reference"/>
        <w:tabs>
          <w:tab w:pos="432" w:val="left"/>
        </w:tabs>
      </w:pPr>
      <w:r>
        <w:t>[13]</w:t>
        <w:tab/>
        <w:t>D. Bahdanau, K. Cho, and Y. Bengio,</w:t>
      </w:r>
      <w:r>
        <w:t xml:space="preserve"> </w:t>
      </w:r>
      <w:r>
        <w:t xml:space="preserve">“</w:t>
      </w:r>
      <w:r>
        <w:t xml:space="preserve">Neural machine translation by jointly learning to align and translate,</w:t>
      </w:r>
      <w:r>
        <w:t xml:space="preserve">”</w:t>
      </w:r>
      <w:r>
        <w:t xml:space="preserve"> </w:t>
      </w:r>
      <w:r>
        <w:t xml:space="preserve">in</w:t>
      </w:r>
      <w:r>
        <w:t xml:space="preserve"> </w:t>
      </w:r>
      <w:r>
        <w:rPr>
          <w:iCs/>
          <w:i/>
        </w:rPr>
        <w:t xml:space="preserve">Proc. Int. Conf. Learn. Represent. (ICLR)</w:t>
      </w:r>
      <w:r>
        <w:t xml:space="preserve">, 2015.</w:t>
      </w:r>
    </w:p>
    <w:p>
      <w:pPr>
        <w:pStyle w:val="Reference"/>
        <w:tabs>
          <w:tab w:pos="432" w:val="left"/>
        </w:tabs>
      </w:pPr>
      <w:r>
        <w:t>[14]</w:t>
        <w:tab/>
        <w:t>C. Meloni, S. Ravfogel, and Y. Goldberg,</w:t>
      </w:r>
      <w:r>
        <w:t xml:space="preserve"> </w:t>
      </w:r>
      <w:r>
        <w:t xml:space="preserve">“</w:t>
      </w:r>
      <w:r>
        <w:t xml:space="preserve">Ab antiquo: Neural proto-language reconstruction,</w:t>
      </w:r>
      <w:r>
        <w:t xml:space="preserve">”</w:t>
      </w:r>
      <w:r>
        <w:t xml:space="preserve"> </w:t>
      </w:r>
      <w:r>
        <w:t xml:space="preserve">in</w:t>
      </w:r>
      <w:r>
        <w:t xml:space="preserve"> </w:t>
      </w:r>
      <w:r>
        <w:rPr>
          <w:iCs/>
          <w:i/>
        </w:rPr>
        <w:t xml:space="preserve">Proc. NAACL-HLT</w:t>
      </w:r>
      <w:r>
        <w:t xml:space="preserve">, 2021, pp. 4460–4473.</w:t>
      </w:r>
    </w:p>
    <w:p>
      <w:pPr>
        <w:pStyle w:val="Reference"/>
        <w:tabs>
          <w:tab w:pos="432" w:val="left"/>
        </w:tabs>
      </w:pPr>
      <w:r>
        <w:t>[15]</w:t>
        <w:tab/>
        <w:t>Y. M. Kim, K. Chang, C. Cui, and D. R. Mortensen,</w:t>
      </w:r>
      <w:r>
        <w:t xml:space="preserve"> </w:t>
      </w:r>
      <w:r>
        <w:t xml:space="preserve">“</w:t>
      </w:r>
      <w:r>
        <w:t xml:space="preserve">Transformed protoform reconstruction,</w:t>
      </w:r>
      <w:r>
        <w:t xml:space="preserve">”</w:t>
      </w:r>
      <w:r>
        <w:t xml:space="preserve"> </w:t>
      </w:r>
      <w:r>
        <w:t xml:space="preserve">in</w:t>
      </w:r>
      <w:r>
        <w:t xml:space="preserve"> </w:t>
      </w:r>
      <w:r>
        <w:rPr>
          <w:iCs/>
          <w:i/>
        </w:rPr>
        <w:t xml:space="preserve">Proc. 61st Annu. Meeting Assoc. Comput. Linguistics (ACL)</w:t>
      </w:r>
      <w:r>
        <w:t xml:space="preserve">, 2023, pp. 24–38.</w:t>
      </w:r>
    </w:p>
    <w:p>
      <w:pPr>
        <w:pStyle w:val="Reference"/>
        <w:tabs>
          <w:tab w:pos="432" w:val="left"/>
        </w:tabs>
      </w:pPr>
      <w:r>
        <w:t>[16]</w:t>
        <w:tab/>
        <w:t>D. R. Mortensen, P. Littell, A. Bharadwaj, K. Goyal, C. Dyer, and L. Levin,</w:t>
      </w:r>
      <w:r>
        <w:t xml:space="preserve"> </w:t>
      </w:r>
      <w:r>
        <w:t xml:space="preserve">“</w:t>
      </w:r>
      <w:r>
        <w:t xml:space="preserve">PanPhon: A resource for mapping IPA segments to articulatory feature vectors,</w:t>
      </w:r>
      <w:r>
        <w:t xml:space="preserve">”</w:t>
      </w:r>
      <w:r>
        <w:t xml:space="preserve"> </w:t>
      </w:r>
      <w:r>
        <w:t xml:space="preserve">in</w:t>
      </w:r>
      <w:r>
        <w:t xml:space="preserve"> </w:t>
      </w:r>
      <w:r>
        <w:rPr>
          <w:iCs/>
          <w:i/>
        </w:rPr>
        <w:t xml:space="preserve">Proc. 26th Int. Conf. Comput. Linguistics (COLING)</w:t>
      </w:r>
      <w:r>
        <w:t xml:space="preserve">, 2016, pp. 3475–3484.</w:t>
      </w:r>
    </w:p>
    <w:p>
      <w:pPr>
        <w:pStyle w:val="Reference"/>
        <w:tabs>
          <w:tab w:pos="432" w:val="left"/>
        </w:tabs>
      </w:pPr>
      <w:r>
        <w:t>[17]</w:t>
        <w:tab/>
        <w:t>N. Chomsky and M. Halle,</w:t>
      </w:r>
      <w:r>
        <w:t xml:space="preserve"> </w:t>
      </w:r>
      <w:r>
        <w:rPr>
          <w:iCs/>
          <w:i/>
        </w:rPr>
        <w:t xml:space="preserve">The Sound Pattern of English</w:t>
      </w:r>
      <w:r>
        <w:t xml:space="preserve">. New York, NY, USA: Harper &amp; Row, 1968.</w:t>
      </w:r>
    </w:p>
    <w:p>
      <w:pPr>
        <w:pStyle w:val="Reference"/>
        <w:tabs>
          <w:tab w:pos="432" w:val="left"/>
        </w:tabs>
      </w:pPr>
      <w:r>
        <w:t>[18]</w:t>
        <w:tab/>
        <w:t>A. van den Oord, Y. Li, and O. Vinyals,</w:t>
      </w:r>
      <w:r>
        <w:t xml:space="preserve"> </w:t>
      </w:r>
      <w:r>
        <w:t xml:space="preserve">“</w:t>
      </w:r>
      <w:r>
        <w:t xml:space="preserve">Representation learning with contrastive predictive coding,</w:t>
      </w:r>
      <w:r>
        <w:t xml:space="preserve">”</w:t>
      </w:r>
      <w:r>
        <w:t xml:space="preserve"> </w:t>
      </w:r>
      <w:r>
        <w:t xml:space="preserve">arXiv:1807.03748, 2018.</w:t>
      </w:r>
    </w:p>
    <w:p>
      <w:pPr>
        <w:pStyle w:val="Reference"/>
        <w:tabs>
          <w:tab w:pos="432" w:val="left"/>
        </w:tabs>
      </w:pPr>
      <w:r>
        <w:t>[19]</w:t>
        <w:tab/>
        <w:t>A. Paszke</w:t>
      </w:r>
      <w:r>
        <w:t xml:space="preserve"> </w:t>
      </w:r>
      <w:r>
        <w:rPr>
          <w:iCs/>
          <w:i/>
        </w:rPr>
        <w:t xml:space="preserve">et al.</w:t>
      </w:r>
      <w:r>
        <w:t xml:space="preserve">,</w:t>
      </w:r>
      <w:r>
        <w:t xml:space="preserve"> </w:t>
      </w:r>
      <w:r>
        <w:t xml:space="preserve">“</w:t>
      </w:r>
      <w:r>
        <w:t xml:space="preserve">PyTorch: An imperative style, high-performance deep learning library,</w:t>
      </w:r>
      <w:r>
        <w:t xml:space="preserve">”</w:t>
      </w:r>
      <w:r>
        <w:t xml:space="preserve"> </w:t>
      </w:r>
      <w:r>
        <w:t xml:space="preserve">in</w:t>
      </w:r>
      <w:r>
        <w:t xml:space="preserve"> </w:t>
      </w:r>
      <w:r>
        <w:rPr>
          <w:iCs/>
          <w:i/>
        </w:rPr>
        <w:t xml:space="preserve">Proc. Adv. Neural Inf. Process. Syst. (NeurIPS)</w:t>
      </w:r>
      <w:r>
        <w:t xml:space="preserve">, 2019.</w:t>
      </w:r>
    </w:p>
    <w:p>
      <w:pPr>
        <w:pStyle w:val="Reference"/>
        <w:tabs>
          <w:tab w:pos="432" w:val="left"/>
        </w:tabs>
      </w:pPr>
      <w:r>
        <w:t>[20]</w:t>
        <w:tab/>
        <w:t>T. Wolf</w:t>
      </w:r>
      <w:r>
        <w:t xml:space="preserve"> </w:t>
      </w:r>
      <w:r>
        <w:rPr>
          <w:iCs/>
          <w:i/>
        </w:rPr>
        <w:t xml:space="preserve">et al.</w:t>
      </w:r>
      <w:r>
        <w:t xml:space="preserve">,</w:t>
      </w:r>
      <w:r>
        <w:t xml:space="preserve"> </w:t>
      </w:r>
      <w:r>
        <w:t xml:space="preserve">“</w:t>
      </w:r>
      <w:r>
        <w:t xml:space="preserve">Transformers: State-of-the-art natural language processing,</w:t>
      </w:r>
      <w:r>
        <w:t xml:space="preserve">”</w:t>
      </w:r>
      <w:r>
        <w:t xml:space="preserve"> </w:t>
      </w:r>
      <w:r>
        <w:t xml:space="preserve">in</w:t>
      </w:r>
      <w:r>
        <w:t xml:space="preserve"> </w:t>
      </w:r>
      <w:r>
        <w:rPr>
          <w:iCs/>
          <w:i/>
        </w:rPr>
        <w:t xml:space="preserve">Proc. EMNLP: Syst. Demonstrations</w:t>
      </w:r>
      <w:r>
        <w:t xml:space="preserve">, 2020, pp. 38–45.</w:t>
      </w:r>
    </w:p>
    <w:p>
      <w:pPr>
        <w:pStyle w:val="Reference"/>
        <w:tabs>
          <w:tab w:pos="432" w:val="left"/>
        </w:tabs>
      </w:pPr>
      <w:r>
        <w:t>[21]</w:t>
        <w:tab/>
        <w:t>D. R. Mortensen, S. Dalmia, and P. Littell,</w:t>
      </w:r>
      <w:r>
        <w:t xml:space="preserve"> </w:t>
      </w:r>
      <w:r>
        <w:t xml:space="preserve">“</w:t>
      </w:r>
      <w:r>
        <w:t xml:space="preserve">Epitran: Precision G2P for many languages,</w:t>
      </w:r>
      <w:r>
        <w:t xml:space="preserve">”</w:t>
      </w:r>
      <w:r>
        <w:t xml:space="preserve"> </w:t>
      </w:r>
      <w:r>
        <w:t xml:space="preserve">in</w:t>
      </w:r>
      <w:r>
        <w:t xml:space="preserve"> </w:t>
      </w:r>
      <w:r>
        <w:rPr>
          <w:iCs/>
          <w:i/>
        </w:rPr>
        <w:t xml:space="preserve">Proc. 11th Int. Conf. Lang. Resour. Eval. (LREC)</w:t>
      </w:r>
      <w:r>
        <w:t xml:space="preserve">, 2018.</w:t>
      </w:r>
    </w:p>
    <w:p>
      <w:pPr>
        <w:pStyle w:val="Reference"/>
        <w:tabs>
          <w:tab w:pos="432" w:val="left"/>
        </w:tabs>
      </w:pPr>
      <w:r>
        <w:t>[22]</w:t>
        <w:tab/>
        <w:t>A. Kunchukuttan,</w:t>
      </w:r>
      <w:r>
        <w:t xml:space="preserve"> </w:t>
      </w:r>
      <w:r>
        <w:t xml:space="preserve">“</w:t>
      </w:r>
      <w:r>
        <w:t xml:space="preserve">The IndicNLP Library,</w:t>
      </w:r>
      <w:r>
        <w:t xml:space="preserve">”</w:t>
      </w:r>
      <w:r>
        <w:t xml:space="preserve"> </w:t>
      </w:r>
      <w:r>
        <w:t xml:space="preserve">2020. [Online]. Available: https://github.com/anoopkunchukuttan/indic_nlp_library</w:t>
      </w:r>
    </w:p>
    <w:p>
      <w:pPr>
        <w:pStyle w:val="Reference"/>
        <w:tabs>
          <w:tab w:pos="432" w:val="left"/>
        </w:tabs>
      </w:pPr>
      <w:r>
        <w:t>[23]</w:t>
        <w:tab/>
        <w:t>P. Bojanowski, E. Grave, A. Joulin, and T. Mikolov,</w:t>
      </w:r>
      <w:r>
        <w:t xml:space="preserve"> </w:t>
      </w:r>
      <w:r>
        <w:t xml:space="preserve">“</w:t>
      </w:r>
      <w:r>
        <w:t xml:space="preserve">Enriching word vectors with subword information,</w:t>
      </w:r>
      <w:r>
        <w:t xml:space="preserve">”</w:t>
      </w:r>
      <w:r>
        <w:t xml:space="preserve"> </w:t>
      </w:r>
      <w:r>
        <w:rPr>
          <w:iCs/>
          <w:i/>
        </w:rPr>
        <w:t xml:space="preserve">Trans. Assoc. Comput. Linguistics</w:t>
      </w:r>
      <w:r>
        <w:t xml:space="preserve">, vol. 5, pp. 135–146, 2017.</w:t>
      </w:r>
    </w:p>
    <w:p>
      <w:pPr>
        <w:pStyle w:val="Reference"/>
        <w:tabs>
          <w:tab w:pos="432" w:val="left"/>
        </w:tabs>
      </w:pPr>
      <w:r>
        <w:t>[24]</w:t>
        <w:tab/>
        <w:t>D. Kakwani</w:t>
      </w:r>
      <w:r>
        <w:t xml:space="preserve"> </w:t>
      </w:r>
      <w:r>
        <w:rPr>
          <w:iCs/>
          <w:i/>
        </w:rPr>
        <w:t xml:space="preserve">et al.</w:t>
      </w:r>
      <w:r>
        <w:t xml:space="preserve">,</w:t>
      </w:r>
      <w:r>
        <w:t xml:space="preserve"> </w:t>
      </w:r>
      <w:r>
        <w:t xml:space="preserve">“</w:t>
      </w:r>
      <w:r>
        <w:t xml:space="preserve">IndicNLPSuite: Monolingual corpora, evaluation benchmarks and pre-trained multilingual language models for Indian languages,</w:t>
      </w:r>
      <w:r>
        <w:t xml:space="preserve">”</w:t>
      </w:r>
      <w:r>
        <w:t xml:space="preserve"> </w:t>
      </w:r>
      <w:r>
        <w:t xml:space="preserve">in</w:t>
      </w:r>
      <w:r>
        <w:t xml:space="preserve"> </w:t>
      </w:r>
      <w:r>
        <w:rPr>
          <w:iCs/>
          <w:i/>
        </w:rPr>
        <w:t xml:space="preserve">Findings Assoc. Comput. Linguistics: EMNLP</w:t>
      </w:r>
      <w:r>
        <w:t xml:space="preserve">, 2020, pp. 4948–4961.</w:t>
      </w:r>
    </w:p>
    <w:p>
      <w:pPr>
        <w:pStyle w:val="Reference"/>
        <w:tabs>
          <w:tab w:pos="432" w:val="left"/>
        </w:tabs>
      </w:pPr>
      <w:r>
        <w:t>[25]</w:t>
        <w:tab/>
        <w:t>J. T. Molesworth,</w:t>
      </w:r>
      <w:r>
        <w:t xml:space="preserve"> </w:t>
      </w:r>
      <w:r>
        <w:rPr>
          <w:iCs/>
          <w:i/>
        </w:rPr>
        <w:t xml:space="preserve">A Dictionary, Marathi and English</w:t>
      </w:r>
      <w:r>
        <w:t xml:space="preserve">, 2nd ed. Bombay, India: Bombay Education Society’s Press, 1857.</w:t>
      </w:r>
    </w:p>
    <w:p>
      <w:pPr>
        <w:pStyle w:val="Reference"/>
        <w:tabs>
          <w:tab w:pos="432" w:val="left"/>
        </w:tabs>
      </w:pPr>
      <w:r>
        <w:t>[26]</w:t>
        <w:tab/>
        <w:t>I. Loshchilov and F. Hutter,</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Proc. Int. Conf. Learn. Represent. (ICLR)</w:t>
      </w:r>
      <w:r>
        <w:t xml:space="preserve">, 2019.</w:t>
      </w:r>
    </w:p>
    <w:p>
      <w:pPr>
        <w:pStyle w:val="Reference"/>
        <w:tabs>
          <w:tab w:pos="432" w:val="left"/>
        </w:tabs>
      </w:pPr>
      <w:r>
        <w:t>[27]</w:t>
        <w:tab/>
        <w:t>M. Popović,</w:t>
      </w:r>
      <w:r>
        <w:t xml:space="preserve"> </w:t>
      </w:r>
      <w:r>
        <w:t xml:space="preserve">“</w:t>
      </w:r>
      <w:r>
        <w:t xml:space="preserve">chrF++: Words helping character n-grams,</w:t>
      </w:r>
      <w:r>
        <w:t xml:space="preserve">”</w:t>
      </w:r>
      <w:r>
        <w:t xml:space="preserve"> </w:t>
      </w:r>
      <w:r>
        <w:t xml:space="preserve">in</w:t>
      </w:r>
      <w:r>
        <w:t xml:space="preserve"> </w:t>
      </w:r>
      <w:r>
        <w:rPr>
          <w:iCs/>
          <w:i/>
        </w:rPr>
        <w:t xml:space="preserve">Proc. 2nd Conf. Mach. Transl. (WMT)</w:t>
      </w:r>
      <w:r>
        <w:t xml:space="preserve">, 2017, pp. 612–618.</w:t>
      </w:r>
    </w:p>
    <w:bookmarkEnd w:id="34"/>
    <w:sectPr>
      <w:type w:val="continuous"/>
      <w:pgSz w:w="11906" w:h="16838"/>
      <w:pgMar w:top="1080" w:right="900" w:bottom="1440" w:lef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jc w:val="both"/>
    </w:pPr>
    <w:rPr>
      <w:rFonts w:ascii="Times New Roman" w:hAnsi="Times New Roman" w:cs="Mangal" w:eastAsia="Times New Roman"/>
      <w:color w:val="000000"/>
      <w:sz w:val="20"/>
    </w:rPr>
  </w:style>
  <w:style w:styleId="BodyText" w:type="paragraph">
    <w:name w:val="Body Text"/>
    <w:basedOn w:val="Normal"/>
    <w:link w:val="BodyTextChar"/>
    <w:pPr>
      <w:spacing w:after="0" w:before="0" w:line="240" w:lineRule="auto"/>
      <w:ind w:firstLine="245"/>
      <w:jc w:val="both"/>
    </w:pPr>
    <w:qFormat/>
    <w:rPr>
      <w:rFonts w:ascii="Times New Roman" w:hAnsi="Times New Roman" w:cs="Mangal" w:eastAsia="Times New Roman"/>
      <w:color w:val="000000"/>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cs="Mangal" w:eastAsia="Times New Roman"/>
      <w:color w:val="000000"/>
      <w:sz w:val="20"/>
    </w:rPr>
  </w:style>
  <w:style w:customStyle="1" w:styleId="Compact" w:type="paragraph">
    <w:name w:val="Compact"/>
    <w:basedOn w:val="BodyText"/>
    <w:qFormat/>
    <w:pPr>
      <w:spacing w:after="40" w:before="0" w:line="240" w:lineRule="auto"/>
      <w:jc w:val="left"/>
    </w:pPr>
    <w:rPr>
      <w:rFonts w:ascii="Times New Roman" w:hAnsi="Times New Roman" w:cs="Mangal" w:eastAsia="Times New Roman"/>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line="240" w:lineRule="auto"/>
      <w:ind w:firstLine="0"/>
      <w:jc w:val="center"/>
      <w:outlineLvl w:val="0"/>
    </w:pPr>
    <w:rPr>
      <w:rFonts w:ascii="Times New Roman" w:hAnsi="Times New Roman" w:cs="Mangal" w:eastAsia="Times New Roman"/>
      <w:b w:val="0"/>
      <w:bCs/>
      <w:smallCaps/>
      <w:color w:val="000000"/>
      <w:sz w:val="2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Mangal" w:eastAsia="Times New Roman"/>
      <w:i/>
      <w:color w:val="000000"/>
      <w:sz w:val="16"/>
    </w:rPr>
  </w:style>
  <w:style w:customStyle="1" w:styleId="TableCaption" w:type="paragraph">
    <w:name w:val="Table Caption"/>
    <w:basedOn w:val="Caption"/>
    <w:pPr>
      <w:keepNext/>
    </w:pPr>
    <w:rPr>
      <w:rFonts w:ascii="Times New Roman" w:hAnsi="Times New Roman" w:cs="Mangal" w:eastAsia="Times New Roman"/>
      <w:color w:val="000000"/>
      <w:sz w:val="16"/>
    </w:rPr>
  </w:style>
  <w:style w:customStyle="1" w:styleId="ImageCaption" w:type="paragraph">
    <w:name w:val="Image Caption"/>
    <w:basedOn w:val="Caption"/>
    <w:pPr>
      <w:spacing w:before="40" w:after="160" w:line="240" w:lineRule="auto"/>
      <w:ind w:firstLine="0"/>
      <w:jc w:val="center"/>
    </w:pPr>
    <w:rPr>
      <w:rFonts w:ascii="Times New Roman" w:hAnsi="Times New Roman" w:cs="Mangal" w:eastAsia="Times New Roman"/>
      <w:color w:val="000000"/>
      <w:sz w:val="16"/>
    </w:rPr>
  </w:style>
  <w:style w:customStyle="1" w:styleId="Figure" w:type="paragraph">
    <w:name w:val="Figure"/>
    <w:basedOn w:val="Normal"/>
  </w:style>
  <w:style w:customStyle="1" w:styleId="CaptionedFigure" w:type="paragraph">
    <w:name w:val="Captioned Figure"/>
    <w:basedOn w:val="Figure"/>
    <w:pPr>
      <w:keepNext/>
      <w:spacing w:before="80" w:after="0" w:line="240" w:lineRule="auto"/>
      <w:ind w:firstLine="0"/>
      <w:jc w:val="center"/>
    </w:pPr>
    <w:rPr>
      <w:rFonts w:ascii="Times New Roman" w:hAnsi="Times New Roman" w:cs="Mangal" w:eastAsia="Times New Roman"/>
      <w:color w:val="000000"/>
      <w:sz w:val="1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Text">
    <w:name w:val="AbstractText"/>
    <w:basedOn w:val="BodyText"/>
    <w:qFormat/>
    <w:pPr>
      <w:spacing w:before="0" w:after="80" w:line="240" w:lineRule="auto"/>
      <w:ind w:firstLine="0"/>
      <w:jc w:val="both"/>
    </w:pPr>
    <w:rPr>
      <w:rFonts w:ascii="Times New Roman" w:hAnsi="Times New Roman" w:cs="Mangal" w:eastAsia="Times New Roman"/>
      <w:b/>
      <w:color w:val="000000"/>
      <w:sz w:val="18"/>
    </w:rPr>
  </w:style>
  <w:style w:type="paragraph" w:customStyle="1" w:styleId="AuthorAffil">
    <w:name w:val="AuthorAffil"/>
    <w:basedOn w:val="BodyText"/>
    <w:qFormat/>
    <w:pPr>
      <w:spacing w:before="0" w:after="0" w:line="240" w:lineRule="auto"/>
      <w:jc w:val="center"/>
    </w:pPr>
    <w:rPr>
      <w:rFonts w:ascii="Times New Roman" w:hAnsi="Times New Roman" w:cs="Mangal" w:eastAsia="Times New Roman"/>
      <w:i/>
      <w:color w:val="000000"/>
      <w:sz w:val="20"/>
    </w:rPr>
  </w:style>
  <w:style w:type="paragraph" w:customStyle="1" w:styleId="AuthorName">
    <w:name w:val="AuthorName"/>
    <w:basedOn w:val="BodyText"/>
    <w:qFormat/>
    <w:pPr>
      <w:spacing w:before="40" w:after="40" w:line="240" w:lineRule="auto"/>
      <w:jc w:val="center"/>
    </w:pPr>
    <w:rPr>
      <w:rFonts w:ascii="Times New Roman" w:hAnsi="Times New Roman" w:cs="Mangal" w:eastAsia="Times New Roman"/>
      <w:b w:val="0"/>
      <w:color w:val="000000"/>
      <w:sz w:val="22"/>
    </w:rPr>
  </w:style>
  <w:style w:type="paragraph" w:customStyle="1" w:styleId="PaperTitle">
    <w:name w:val="PaperTitle"/>
    <w:basedOn w:val="BodyText"/>
    <w:qFormat/>
    <w:pPr>
      <w:spacing w:before="0" w:after="200" w:line="240" w:lineRule="auto"/>
      <w:jc w:val="center"/>
    </w:pPr>
    <w:rPr>
      <w:rFonts w:ascii="Times New Roman" w:hAnsi="Times New Roman" w:cs="Mangal" w:eastAsia="Times New Roman"/>
      <w:b w:val="0"/>
      <w:color w:val="000000"/>
      <w:sz w:val="44"/>
    </w:rPr>
  </w:style>
  <w:style w:type="paragraph" w:customStyle="1" w:styleId="Reference">
    <w:name w:val="Reference"/>
    <w:basedOn w:val="BodyText"/>
    <w:qFormat/>
    <w:pPr>
      <w:spacing w:before="0" w:after="40" w:line="240" w:lineRule="auto"/>
      <w:ind w:left="432" w:hanging="432"/>
      <w:jc w:val="both"/>
    </w:pPr>
    <w:rPr>
      <w:rFonts w:ascii="Times New Roman" w:hAnsi="Times New Roman" w:cs="Mangal" w:eastAsia="Times New Roman"/>
      <w:color w:val="000000"/>
      <w:sz w:val="16"/>
    </w:rPr>
  </w:style>
  <w:style w:type="paragraph" w:customStyle="1" w:styleId="TableCaption">
    <w:name w:val="TableCaption"/>
    <w:basedOn w:val="BodyText"/>
    <w:qFormat/>
    <w:pPr>
      <w:keepNext/>
      <w:spacing w:before="120" w:after="60" w:line="240" w:lineRule="auto"/>
      <w:jc w:val="center"/>
    </w:pPr>
    <w:rPr>
      <w:rFonts w:ascii="Times New Roman" w:hAnsi="Times New Roman" w:cs="Mangal" w:eastAsia="Times New Roman"/>
      <w:b w:val="0"/>
      <w:smallCaps/>
      <w:color w:val="000000"/>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2026-10-06T11:49:15Z</dcterms:created>
  <dcterms:modified xsi:type="dcterms:W3CDTF">2026-10-06T11:49:15Z</dcterms:modified>
</cp:coreProperties>
</file>

<file path=docProps/custom.xml><?xml version="1.0" encoding="utf-8"?>
<Properties xmlns="http://schemas.openxmlformats.org/officeDocument/2006/custom-properties" xmlns:vt="http://schemas.openxmlformats.org/officeDocument/2006/docPropsVTypes"/>
</file>