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2026-08-11.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is no password reset.</w:t>
      </w:r>
      <w:r>
        <w:rPr>
          <w:color w:val="111827"/>
          <w:sz w:val="21"/>
          <w:szCs w:val="21"/>
        </w:rPr>
        <w:t xml:space="preserve"> See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— an owner who forgets their password today has no route back into their own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Nobody knows what the assistant actually costs.</w:t>
      </w:r>
      <w:r>
        <w:rPr>
          <w:color w:val="111827"/>
          <w:sz w:val="21"/>
          <w:szCs w:val="21"/>
        </w:rPr>
        <w:t xml:space="preserve"> The platform dashboard prices it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, a guess. Token usage is not recorded per message.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Starter's 300-question allowance against RWF 7,000/month, this is the line most likely to cost more than it earns — and it is currently unmeasured. Record real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compare against an Anthropic invoice,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 The first production deploy failed on something a five-second CI job would have caught, and the feedback loop was a ten-minute cloud build instead.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`packages/shared/tsconfig.json` still uses `moduleResolution: "node"`.</w:t>
      </w:r>
      <w:r>
        <w:rPr>
          <w:color w:val="111827"/>
          <w:sz w:val="21"/>
          <w:szCs w:val="21"/>
        </w:rPr>
        <w:t xml:space="preserve"> That is the old node10 algorithm. TypeScript 5 accepts it with a deprecation warning; TypeScript 6 and 7 remove it outright, so this breaks the moment the toolchain is upgraded. Move it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node16</w:t>
      </w:r>
      <w:r>
        <w:rPr>
          <w:color w:val="111827"/>
          <w:sz w:val="21"/>
          <w:szCs w:val="21"/>
        </w:rPr>
        <w:t xml:space="preserve"> together — deliberately, with the build verified, not during a deploy.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Password reset, email 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Real AI cost measurement, then the pricing decision that follows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2026-08-11T13:39:28.087Z</dcterms:created>
  <dcterms:modified xsi:type="dcterms:W3CDTF">2026-08-11T13:39:28.087Z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