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2026-08-18.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console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real AI token cost against it — plus account management: suspend/restore shops, change plans and roles, browse payments, every action audit-logged with a reason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MTN MoMo push-to-phone (default) or Flutterwave hosted checkout, behind one provider seam — verified amounts, idempotent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MTN MoMo /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Payments —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PAYMENT_PROVIDER</w:t>
      </w:r>
      <w:r>
        <w:rPr>
          <w:color w:val="111827"/>
          <w:sz w:val="21"/>
          <w:szCs w:val="21"/>
        </w:rPr>
        <w:t xml:space="preserve"> to one of: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mtn-momo</w:t>
      </w:r>
      <w:r>
        <w:rPr>
          <w:color w:val="111827"/>
          <w:sz w:val="21"/>
          <w:szCs w:val="21"/>
        </w:rPr>
        <w:t xml:space="preserve"> (the default):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MOMO_SUBSCRIPTION_KEY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MOMO_API_USER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MOMO_API_KEY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MOMO_TARGET_ENVIRONMENT</w:t>
      </w:r>
      <w:r>
        <w:rPr>
          <w:color w:val="111827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sandbox</w:t>
      </w:r>
      <w:r>
        <w:rPr>
          <w:color w:val="111827"/>
          <w:sz w:val="21"/>
          <w:szCs w:val="21"/>
        </w:rPr>
        <w:t xml:space="preserve"> until MTN approves you for production),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MOMO_BASE_URL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MOMO_CALLBACK_HOST</w:t>
      </w:r>
      <w:r>
        <w:rPr>
          <w:color w:val="111827"/>
          <w:sz w:val="21"/>
          <w:szCs w:val="21"/>
        </w:rPr>
        <w:t xml:space="preserve"> (this API's host)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MOMO_CALLBACK_SECRET</w:t>
      </w:r>
      <w:r>
        <w:rPr>
          <w:color w:val="111827"/>
          <w:sz w:val="21"/>
          <w:szCs w:val="21"/>
        </w:rPr>
        <w:t xml:space="preserve"> (a long random string — MoMo callbacks are unsigned, so this in the URL path is what authenticates them).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</w:t>
      </w:r>
      <w:r>
        <w:rPr>
          <w:color w:val="111827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, and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, and point its webhook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MAIL_PROVIDER=resend</w:t>
      </w:r>
      <w:r>
        <w:rPr>
          <w:color w:val="111827"/>
          <w:sz w:val="21"/>
          <w:szCs w:val="21"/>
        </w:rPr>
        <w:t xml:space="preserve"> with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RESEND_API_KEY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MAIL_FROM</w:t>
      </w:r>
      <w:r>
        <w:rPr>
          <w:color w:val="111827"/>
          <w:sz w:val="21"/>
          <w:szCs w:val="21"/>
        </w:rPr>
        <w:t xml:space="preserve">, so password-reset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emails actually deliver. The default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) prints the link to the server log, which is fine in development and an outage in production.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a real `MAIL_PROVIDER`.</w:t>
      </w:r>
      <w:r>
        <w:rPr>
          <w:color w:val="111827"/>
          <w:sz w:val="21"/>
          <w:szCs w:val="21"/>
        </w:rPr>
        <w:t xml:space="preserve"> Password reset is built, but on the default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provider the reset link goes to the server log instead of an inbox — which becomes an outage the first time an owner forgets their password.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Every reply records its real token counts, and the platform console prices the AI line from them (set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AI_INPUT_RWF_PER_MTOK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AI_OUTPUT_RWF_PER_MTOK</w:t>
      </w:r>
      <w:r>
        <w:rPr>
          <w:color w:val="111827"/>
          <w:sz w:val="21"/>
          <w:szCs w:val="21"/>
        </w:rPr>
        <w:t xml:space="preserve"> to your provider's rates). On the Starter plan's 300-question allowance this is the item most likely to cost more than you charge — watch that line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2026-08-18T14:29:50.944Z</dcterms:created>
  <dcterms:modified xsi:type="dcterms:W3CDTF">2026-08-18T14:29:50.944Z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