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How it works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How BizPilot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describes the system as it is built, module by module. It is written for whoever changes the code next — including the author six months from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Companion documents: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for the honest list of what an attacker could do, and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for what is missing.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The shape of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browser  ──HTTPS──▶  NestJS API  ──▶  PostgreSQL   (everything durable)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│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Redis          (cache + BullMQ job queue)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Anthropic API   (the assistant)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Flutterwave     (subscriptions + invoice payment)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└──▶  Africa's Talking / Twilio  (SMS)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single npm workspaces monorepo: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NestJS. Every business rule lives here.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React + Vite. A client. It enforces nothing.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packages/shared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Plan catalogue and money helpers, imported by both.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</w:t>
      </w:r>
      <w:r>
        <w:rPr>
          <w:color w:val="111827"/>
          <w:sz w:val="21"/>
          <w:szCs w:val="21"/>
        </w:rPr>
        <w:t xml:space="preserve"> is the reason the pricing page can never disagree with what the server enforces: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</w:t>
      </w:r>
      <w:r>
        <w:rPr>
          <w:color w:val="111827"/>
          <w:sz w:val="21"/>
          <w:szCs w:val="21"/>
        </w:rPr>
        <w:t xml:space="preserve"> is one object, the web app renders from it and the API checks limits against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Two rules that explain most of the code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Money is an integer, never a float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amount — prices, totals, costs, SMS gateway charges, subscription payments — is an integer count of the currency's minor unit, stored as PostgreSQL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RWF has no subunit in practice but is still stored ×100, so one code path serves RWF and USD and rounding never surprises anyone.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 and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because a plain 32-bit integer tops out near 21 million RWF, which a hardware store passes in a month.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Conversion happens only at the display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formatMoney</w:t>
      </w:r>
      <w:r>
        <w:rPr>
          <w:color w:val="111827"/>
          <w:sz w:val="21"/>
          <w:szCs w:val="21"/>
        </w:rPr>
        <w:t xml:space="preserve">) and the input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). JSON has no BigInt,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</w:t>
      </w:r>
      <w:r>
        <w:rPr>
          <w:color w:val="111827"/>
          <w:sz w:val="21"/>
          <w:szCs w:val="21"/>
        </w:rPr>
        <w:t xml:space="preserve"> installs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BigInt.prototype.toJSON</w:t>
      </w:r>
      <w:r>
        <w:rPr>
          <w:color w:val="111827"/>
          <w:sz w:val="21"/>
          <w:szCs w:val="21"/>
        </w:rPr>
        <w:t xml:space="preserve"> that emits a number.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The tenant id is on every row and in every query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business-owned table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. Every service method takes it as its first argument, and it comes from the JWT via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@BusinessId()</w:t>
      </w:r>
      <w:r>
        <w:rPr>
          <w:color w:val="111827"/>
          <w:sz w:val="21"/>
          <w:szCs w:val="21"/>
        </w:rPr>
        <w:t xml:space="preserve"> decorator — never from the request body or a URL parameter. A client cannot ask for another shop's data because it has no way to name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AI assistant follows the same rule in a stricter form: its tools are built as closures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before the model is given them, so no prompt can widen their scope.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The API, module by module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sits under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prefix. Three global guards run in order: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JwtAuthGuard</w:t>
      </w:r>
      <w:r>
        <w:rPr>
          <w:color w:val="111827"/>
          <w:sz w:val="21"/>
          <w:szCs w:val="21"/>
        </w:rPr>
        <w:t xml:space="preserve"> (authenticate),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RolesGuard</w:t>
      </w:r>
      <w:r>
        <w:rPr>
          <w:color w:val="111827"/>
          <w:sz w:val="21"/>
          <w:szCs w:val="21"/>
        </w:rPr>
        <w:t xml:space="preserve"> (authorise),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ThrottlerGuard</w:t>
      </w:r>
      <w:r>
        <w:rPr>
          <w:color w:val="111827"/>
          <w:sz w:val="21"/>
          <w:szCs w:val="21"/>
        </w:rPr>
        <w:t xml:space="preserve"> (rate limit, 120 requests/minute).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common/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File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prisma/prisma.service.ts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Prisma client, with connect/disconnect wired to Nest's lifecycle.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redis/redis.service.ts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Thin typed get/set/del over ioredis. Used for the dashboard cache.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numbering/numbering.service.ts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Allocates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INV-0042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RCP-0117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sequences per business without races.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guards/jwt-auth.guard.ts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Validates the access token unless the route is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guards/roles.guard.ts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always passes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so decorators only list the </w:t>
            </w: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lower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role that should also be allowed.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filters/prisma-exception.filter.ts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Turns Prisma error codes into HTTP responses (P2002 → 409, P2025 → 404) instead of leaking a stack trace.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decorators/index.ts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@RequiresPlan()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@CurrentUser()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@BusinessId()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config/configuration.ts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Zod schema for the whole environment. The app </w:t>
      </w:r>
      <w:r>
        <w:rPr>
          <w:b/>
          <w:bCs/>
          <w:color w:val="111827"/>
          <w:sz w:val="21"/>
          <w:szCs w:val="21"/>
        </w:rPr>
        <w:t xml:space="preserve">refuses to boot</w:t>
      </w:r>
      <w:r>
        <w:rPr>
          <w:color w:val="111827"/>
          <w:sz w:val="21"/>
          <w:szCs w:val="21"/>
        </w:rPr>
        <w:t xml:space="preserve"> if anything required is missing or malformed, and refuses to boot in production if a JWT secret still holds a development placeholder. A misconfigured deploy should fail loudly at startup rather than silently at 2am when a webhook arrives.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auth/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Registration creates the entire tenant in one transaction: business, its default location, the owner user, and a trialing subscription. A half-created business would be worse than a failed signup.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Access token</w:t>
      </w:r>
      <w:r>
        <w:rPr>
          <w:color w:val="111827"/>
          <w:sz w:val="21"/>
          <w:szCs w:val="21"/>
        </w:rPr>
        <w:t xml:space="preserve"> — a JWT, 15 minutes, carrying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sub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email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Refresh token</w:t>
      </w:r>
      <w:r>
        <w:rPr>
          <w:color w:val="111827"/>
          <w:sz w:val="21"/>
          <w:szCs w:val="21"/>
        </w:rPr>
        <w:t xml:space="preserve"> — an opaque 48-byte random string. Only the SHA-256 hash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stored, so a database leak does not yield usable tokens, and there is nothing to forge because it is checked against a row rather than a signature.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Rotation</w:t>
      </w:r>
      <w:r>
        <w:rPr>
          <w:color w:val="111827"/>
          <w:sz w:val="21"/>
          <w:szCs w:val="21"/>
        </w:rPr>
        <w:t xml:space="preserve"> — presenting a refresh token burns it and issues a new pair, so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stolen token is usable at most once.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Login compares against a dummy bcrypt hash when the user does not exist, so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response time does not reveal which emails are registered.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Changing a password revokes every session.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entitlements/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place that decides what a business may do right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distinction that matters: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</w:t>
      </w:r>
      <w:r>
        <w:rPr>
          <w:color w:val="111827"/>
          <w:sz w:val="21"/>
          <w:szCs w:val="21"/>
        </w:rPr>
        <w:t xml:space="preserve"> on the row is what they </w:t>
      </w:r>
      <w:r>
        <w:rPr>
          <w:b/>
          <w:bCs/>
          <w:color w:val="111827"/>
          <w:sz w:val="21"/>
          <w:szCs w:val="21"/>
        </w:rPr>
        <w:t xml:space="preserve">bought</w:t>
      </w:r>
      <w:r>
        <w:rPr>
          <w:color w:val="111827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effectivePlan()</w:t>
      </w:r>
      <w:r>
        <w:rPr>
          <w:color w:val="111827"/>
          <w:sz w:val="21"/>
          <w:szCs w:val="21"/>
        </w:rPr>
        <w:t xml:space="preserve"> is what they can </w:t>
      </w:r>
      <w:r>
        <w:rPr>
          <w:b/>
          <w:bCs/>
          <w:color w:val="111827"/>
          <w:sz w:val="21"/>
          <w:szCs w:val="21"/>
        </w:rPr>
        <w:t xml:space="preserve">use</w:t>
      </w:r>
      <w:r>
        <w:rPr>
          <w:color w:val="111827"/>
          <w:sz w:val="21"/>
          <w:szCs w:val="21"/>
        </w:rPr>
        <w:t xml:space="preserve">. During a trial that is Starter; after an expired trial it silently becomes Free — nothing is deleted, the limits just apply.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keeps paid access during the grace period.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Metered limits (sales, SMS, AI messages) use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UsageCounter</w:t>
      </w:r>
      <w:r>
        <w:rPr>
          <w:color w:val="111827"/>
          <w:sz w:val="21"/>
          <w:szCs w:val="21"/>
        </w:rPr>
        <w:t xml:space="preserve"> rows keyed by business + metric + month, incremented atomically. Checking and consuming are deliberately separate calls so a failed request does not burn the customer's quota.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products/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customers/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expenses/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Straightforward CRUD with soft deletes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deletedAt</w:t>
      </w:r>
      <w:r>
        <w:rPr>
          <w:color w:val="111827"/>
          <w:sz w:val="21"/>
          <w:szCs w:val="21"/>
        </w:rPr>
        <w:t xml:space="preserve">). Products can opt out of stock tracking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trackStock: false</w:t>
      </w:r>
      <w:r>
        <w:rPr>
          <w:color w:val="111827"/>
          <w:sz w:val="21"/>
          <w:szCs w:val="21"/>
        </w:rPr>
        <w:t xml:space="preserve">) for services and airtime.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sales/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most careful module in the codebase. Recording a sale, in one transaction: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Re-reads every product row and checks stock — the client's idea of stock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never trusted.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Refuses to oversell a stock-tracked product.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Snapshots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unitCost</w:t>
      </w:r>
      <w:r>
        <w:rPr>
          <w:color w:val="111827"/>
          <w:sz w:val="21"/>
          <w:szCs w:val="21"/>
        </w:rPr>
        <w:t xml:space="preserve"> onto each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</w:t>
      </w:r>
      <w:r>
        <w:rPr>
          <w:color w:val="111827"/>
          <w:sz w:val="21"/>
          <w:szCs w:val="21"/>
        </w:rPr>
        <w:t xml:space="preserve">. **This is why restocking at a new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price never rewrites last month's profit.**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Decrements stock with a conditional update, so two cashiers selling the last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item cannot both succeed.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Writes an append-only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StockMovement</w:t>
      </w:r>
      <w:r>
        <w:rPr>
          <w:color w:val="111827"/>
          <w:sz w:val="21"/>
          <w:szCs w:val="21"/>
        </w:rPr>
        <w:t xml:space="preserve"> row.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Updates the customer's balance if sold on credit.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Increments the monthly sales counter.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Voiding restores stock and marks the sale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VOIDED</w:t>
      </w:r>
      <w:r>
        <w:rPr>
          <w:color w:val="111827"/>
          <w:sz w:val="21"/>
          <w:szCs w:val="21"/>
        </w:rPr>
        <w:t xml:space="preserve">; every report excludes voided sales.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invoices/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Invoices can be built from scratch or from a credit sale.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invoice-pdf.service.ts</w:t>
      </w:r>
      <w:r>
        <w:rPr>
          <w:color w:val="111827"/>
          <w:sz w:val="21"/>
          <w:szCs w:val="21"/>
        </w:rPr>
        <w:t xml:space="preserve"> renders with PDFKit. Each invoice carries a random public token,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/pay/:token</w:t>
      </w:r>
      <w:r>
        <w:rPr>
          <w:color w:val="111827"/>
          <w:sz w:val="21"/>
          <w:szCs w:val="21"/>
        </w:rPr>
        <w:t xml:space="preserve"> is reachable without an account — that is the link the customer receives. A daily cron marks overdue invoices and queues reminder SMS.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reports/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Read-only and aggregate-heavy, so it uses raw SQL where Prisma's query builder would force several round trips. Two rules apply to every query here: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Column names must be double-quoted.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Every SUM needs `::bigint`.</w:t>
      </w:r>
      <w:r>
        <w:rPr>
          <w:color w:val="111827"/>
          <w:sz w:val="21"/>
          <w:szCs w:val="21"/>
        </w:rPr>
        <w:t xml:space="preserve">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which Prisma deserialises as a Decimal — it satisfies the TypeScript types and then throws at runtime the first time it meets a BigInt operand.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Endpoints: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dashboard</w:t>
      </w:r>
      <w:r>
        <w:rPr>
          <w:color w:val="111827"/>
          <w:sz w:val="21"/>
          <w:szCs w:val="21"/>
        </w:rPr>
        <w:t xml:space="preserve"> (cached 60s in Redis),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revenue-trend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top-products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dead-stock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sales-by-hour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staff</w:t>
      </w:r>
      <w:r>
        <w:rPr>
          <w:color w:val="111827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profit-loss.pdf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cash-up.pdf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two PDF routes are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plan feature and rendered by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report-pdf.service.ts</w:t>
      </w:r>
      <w:r>
        <w:rPr>
          <w:color w:val="111827"/>
          <w:sz w:val="21"/>
          <w:szCs w:val="21"/>
        </w:rPr>
        <w:t xml:space="preserve"> on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common/pdf/pdf-builder.ts</w:t>
      </w:r>
      <w:r>
        <w:rPr>
          <w:color w:val="111827"/>
          <w:sz w:val="21"/>
          <w:szCs w:val="21"/>
        </w:rPr>
        <w:t xml:space="preserve"> — a small layer over pdfkit that knows how to draw a table that paginates, a fill-in line, and a signature block. They exist because a shop asked for figures by a landlord, a co-operative, a loan officer or the RRA needs paper with a name on it, so every document states its period, who produced it, and carries signature blocks.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cash-up sheet is a </w:t>
      </w:r>
      <w:r>
        <w:rPr>
          <w:b/>
          <w:bCs/>
          <w:color w:val="111827"/>
          <w:sz w:val="21"/>
          <w:szCs w:val="21"/>
        </w:rPr>
        <w:t xml:space="preserve">form</w:t>
      </w:r>
      <w:r>
        <w:rPr>
          <w:color w:val="111827"/>
          <w:sz w:val="21"/>
          <w:szCs w:val="21"/>
        </w:rPr>
        <w:t xml:space="preserve">, not a report: the counted cash total is written on it by hand at the till before it is signed. A figure typed into a screen by the person holding the money is not a control. It is signed twice — by whoever counted, and by whoever took the money off them.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Both read from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ReportsService</w:t>
      </w:r>
      <w:r>
        <w:rPr>
          <w:color w:val="111827"/>
          <w:sz w:val="21"/>
          <w:szCs w:val="21"/>
        </w:rPr>
        <w:t xml:space="preserve"> the screens use, so there is no second calculation of profit that could disagree with what the owner saw.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happens, not when the cash arrives.</w:t>
      </w:r>
      <w:r>
        <w:rPr>
          <w:color w:val="111827"/>
          <w:sz w:val="21"/>
          <w:szCs w:val="21"/>
        </w:rPr>
        <w:t xml:space="preserve"> That is what makes profit meaningful for a shop selling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alongside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`cash-up`</w:t>
      </w:r>
      <w:r>
        <w:rPr>
          <w:color w:val="111827"/>
          <w:sz w:val="21"/>
          <w:szCs w:val="21"/>
        </w:rPr>
        <w:t xml:space="preserve"> is the end-of-day close. The number that matters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cashExpected</w:t>
      </w:r>
      <w:r>
        <w:rPr>
          <w:color w:val="111827"/>
          <w:sz w:val="21"/>
          <w:szCs w:val="21"/>
        </w:rPr>
        <w:t xml:space="preserve">: cash sales minus cash paid out for expenses. MoMo and card never touch the till and a credit sale brings in nothing today, so neither belongs in the drawer figure.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ai/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Uses the Anthropic SDK's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client.beta.messages.toolRunner()</w:t>
      </w:r>
      <w:r>
        <w:rPr>
          <w:color w:val="111827"/>
          <w:sz w:val="21"/>
          <w:szCs w:val="21"/>
        </w:rPr>
        <w:t xml:space="preserve"> with nine tools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ai-tools.service.ts</w:t>
      </w:r>
      <w:r>
        <w:rPr>
          <w:color w:val="111827"/>
          <w:sz w:val="21"/>
          <w:szCs w:val="21"/>
        </w:rPr>
        <w:t xml:space="preserve">): today's takings, stock levels, who owes money, best sellers, and so on. Two deliberate choices: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Tools return </w:t>
      </w:r>
      <w:r>
        <w:rPr>
          <w:b/>
          <w:bCs/>
          <w:color w:val="111827"/>
          <w:sz w:val="21"/>
          <w:szCs w:val="21"/>
        </w:rPr>
        <w:t xml:space="preserve">formatted strings, not raw JSON</w:t>
      </w:r>
      <w:r>
        <w:rPr>
          <w:color w:val="111827"/>
          <w:sz w:val="21"/>
          <w:szCs w:val="21"/>
        </w:rPr>
        <w:t xml:space="preserve">, so the model never has to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guess a minor-unit conversion.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Every tool is a closure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 bound before the model sees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With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the client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null</w:t>
      </w:r>
      <w:r>
        <w:rPr>
          <w:color w:val="111827"/>
          <w:sz w:val="21"/>
          <w:szCs w:val="21"/>
        </w:rPr>
        <w:t xml:space="preserve"> and the endpoint returns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ServiceUnavailableException</w:t>
      </w:r>
      <w:r>
        <w:rPr>
          <w:color w:val="111827"/>
          <w:sz w:val="21"/>
          <w:szCs w:val="21"/>
        </w:rPr>
        <w:t xml:space="preserve"> with a plain message — not a 500. The key is one server-side value shared by every shop; no shop owner ever supplies one.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sms/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BullMQ queue over Redis with three interchangeable providers behind one interface: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(development),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twilio</w:t>
      </w:r>
      <w:r>
        <w:rPr>
          <w:color w:val="111827"/>
          <w:sz w:val="21"/>
          <w:szCs w:val="21"/>
        </w:rPr>
        <w:t xml:space="preserve">.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 stores the cost the gateway reported, which is what makes margin measurable.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billing/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Flutterwave Standard checkout. The rules: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Nothing is credited on the browser's word.</w:t>
      </w:r>
      <w:r>
        <w:rPr>
          <w:color w:val="111827"/>
          <w:sz w:val="21"/>
          <w:szCs w:val="21"/>
        </w:rPr>
        <w:t xml:space="preserve"> Both the webhook and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redirect call Flutterwave's verify endpoint server-side first.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The webhook signature is checked against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verif-hash</w:t>
      </w:r>
      <w:r>
        <w:rPr>
          <w:color w:val="111827"/>
          <w:sz w:val="21"/>
          <w:szCs w:val="21"/>
        </w:rPr>
        <w:t xml:space="preserve"> header with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constant-time compare, and </w:t>
      </w:r>
      <w:r>
        <w:rPr>
          <w:b/>
          <w:bCs/>
          <w:color w:val="111827"/>
          <w:sz w:val="21"/>
          <w:szCs w:val="21"/>
        </w:rPr>
        <w:t xml:space="preserve">rejects outright when no hash is configured</w:t>
      </w:r>
      <w:r>
        <w:rPr>
          <w:color w:val="111827"/>
          <w:sz w:val="21"/>
          <w:szCs w:val="21"/>
        </w:rPr>
        <w:t xml:space="preserve"> — an unset secret must not mean "accept everything".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settleTransaction</w:t>
      </w:r>
      <w:r>
        <w:rPr>
          <w:color w:val="111827"/>
          <w:sz w:val="21"/>
          <w:szCs w:val="21"/>
        </w:rPr>
        <w:t xml:space="preserve"> is the single idempotent settlement path for both routes,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keyed on 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tx_ref</w:t>
      </w:r>
      <w:r>
        <w:rPr>
          <w:color w:val="111827"/>
          <w:sz w:val="21"/>
          <w:szCs w:val="21"/>
        </w:rPr>
        <w:t xml:space="preserve">, so a replayed webhook cannot double-credit.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admin/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BizPilot's own books: MRR, ARR, trials in flight, trials ending within seven days, churn, cash collected by month, signups by week, and cost-to-serve (SMS + estimated AI) against revenue. Plus a table of every shop with usage, so a trial that is actually being used can be told apart from one that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only code that reads across tenants, which is the exact opposite of the rule everything else follows. That is why it is a separate module behind its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PlatformAdminGuard</w:t>
      </w:r>
      <w:r>
        <w:rPr>
          <w:color w:val="111827"/>
          <w:sz w:val="21"/>
          <w:szCs w:val="21"/>
        </w:rPr>
        <w:t xml:space="preserve">,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environment variable rather than a database column — nobody can grant it from inside the product, and an empty list means nobody rather than everybody.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The web app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18, Vite, TanStack Query for server state, Zustand for session and theme, Tailwind, Recharts, react-hook-form + Zod.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lib/api.ts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Axios instance. One shared refresh promise, so ten concurrent 401s trigger one refresh rather than ten.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lib/format.ts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Money and date formatting.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currencyDisplay: 'code'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prints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RWF 1,200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left alone,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Intl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renders RWF as "RF", which reads as a typo.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lib/charts.ts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Two validated categorical palettes, one per surface. See below.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store/auth.ts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Session, restore-on-load, role helpers.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store/theme.ts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Light/dark. Follows the OS until the user chooses once.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Sidebar on desktop, tab bar on phones.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components/HeroBackdrop.tsx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drifting landing-page scenes.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pages/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One file per screen.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Money is formatted at the display boundary only; the API sends minor units throughout.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Charts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categorical palette is </w:t>
      </w:r>
      <w:r>
        <w:rPr>
          <w:b/>
          <w:bCs/>
          <w:color w:val="111827"/>
          <w:sz w:val="21"/>
          <w:szCs w:val="21"/>
        </w:rPr>
        <w:t xml:space="preserve">validated, not chosen by eye</w:t>
      </w:r>
      <w:r>
        <w:rPr>
          <w:color w:val="111827"/>
          <w:sz w:val="21"/>
          <w:szCs w:val="21"/>
        </w:rPr>
        <w:t xml:space="preserve"> — lightness band, chroma floor, colour-blind separation of adjacent pairs, normal-vision separation, and contrast against the surface.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are two palettes because the light one measurably fails on a dark background: indigo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#4338CA</w:t>
      </w:r>
      <w:r>
        <w:rPr>
          <w:color w:val="111827"/>
          <w:sz w:val="21"/>
          <w:szCs w:val="21"/>
        </w:rPr>
        <w:t xml:space="preserve"> falls outside the lightness band and seven of the eight drop below 3:1 contrast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#1E293B</w:t>
      </w:r>
      <w:r>
        <w:rPr>
          <w:color w:val="111827"/>
          <w:sz w:val="21"/>
          <w:szCs w:val="21"/>
        </w:rPr>
        <w:t xml:space="preserve">. The dark set is the same eight hues re-stepped for that surface, in the same order so a series keeps its identity when the theme changes. Both pass all six checks.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not reorder or extend either list casually — adjacency is what was tested.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Dark mode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Implemented as overrides on the light utility classes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index.css</w:t>
      </w:r>
      <w:r>
        <w:rPr>
          <w:color w:val="111827"/>
          <w:sz w:val="21"/>
          <w:szCs w:val="21"/>
        </w:rPr>
        <w:t xml:space="preserve">, rather than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dark:</w:t>
      </w:r>
      <w:r>
        <w:rPr>
          <w:color w:val="111827"/>
          <w:sz w:val="21"/>
          <w:szCs w:val="21"/>
        </w:rPr>
        <w:t xml:space="preserve"> variant on every element. Twenty-odd screens already say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; mapping those centrally means a new screen is dark-ready the moment it is written.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class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before first paint</w:t>
      </w:r>
      <w:r>
        <w:rPr>
          <w:color w:val="111827"/>
          <w:sz w:val="21"/>
          <w:szCs w:val="21"/>
        </w:rPr>
        <w:t xml:space="preserve"> — doing it in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Recharts is the exception: it takes colours as props, so CSS cannot reach the marks.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useChartTheme()</w:t>
      </w:r>
      <w:r>
        <w:rPr>
          <w:color w:val="111827"/>
          <w:sz w:val="21"/>
          <w:szCs w:val="21"/>
        </w:rPr>
        <w:t xml:space="preserve"> reads the theme store and returns the right values.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Running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          # Postgres on 5434, Redis on 6380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           # terminal 1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           # terminal 2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demo1234</w:t>
      </w:r>
      <w:r>
        <w:rPr>
          <w:color w:val="111827"/>
          <w:sz w:val="21"/>
          <w:szCs w:val="21"/>
        </w:rPr>
        <w:t xml:space="preserve">. API docs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/api/docs</w:t>
      </w:r>
      <w:r>
        <w:rPr>
          <w:color w:val="111827"/>
          <w:sz w:val="21"/>
          <w:szCs w:val="21"/>
        </w:rPr>
        <w:t xml:space="preserve"> in development only.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credit customers, an overdue invoice and a deliberately overstocked item, so every report has something true to show.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Two Windows gotchas that cost real time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must be `realpathSync.native(process.cwd())`.</w:t>
      </w:r>
      <w:r>
        <w:rPr>
          <w:color w:val="111827"/>
          <w:sz w:val="21"/>
          <w:szCs w:val="21"/>
        </w:rPr>
        <w:t xml:space="preserve"> This repo lives under a folder with a space in its name, so a launcher can start the dev server through the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the same realpath call and always gets the long spelling back; if the root is still the short one,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is outside the project and serves it untransformed. The symptom is a blank page, nothing in the browser console,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`incremental: false` in the API's tsconfig.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nest build</w:t>
      </w:r>
      <w:r>
        <w:rPr>
          <w:color w:val="111827"/>
          <w:sz w:val="21"/>
          <w:szCs w:val="21"/>
        </w:rPr>
        <w:t xml:space="preserve"> deletes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, but an incremental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tsbuildinfo</w:t>
      </w:r>
      <w:r>
        <w:rPr>
          <w:color w:val="111827"/>
          <w:sz w:val="21"/>
          <w:szCs w:val="21"/>
        </w:rPr>
        <w:t xml:space="preserve"> then skips re-emitting files it thinks are unchanged, leaving a partial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 and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MODULE_NOT_FOUND</w:t>
      </w:r>
      <w:r>
        <w:rPr>
          <w:color w:val="111827"/>
          <w:sz w:val="21"/>
          <w:szCs w:val="21"/>
        </w:rPr>
        <w:t xml:space="preserve"> at runtime.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Postgres runs on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, everything else on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. The split exists because Render's free Postgres is deleted after 30 days and Neon's free tier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costs one piece of complexity, and it is worth knowing where it lives: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schema.prisma</w:t>
      </w:r>
      <w:r>
        <w:rPr>
          <w:color w:val="111827"/>
          <w:sz w:val="21"/>
          <w:szCs w:val="21"/>
        </w:rPr>
        <w:t xml:space="preserve"> declares </w:t>
      </w:r>
      <w:r>
        <w:rPr>
          <w:b/>
          <w:bCs/>
          <w:color w:val="111827"/>
          <w:sz w:val="21"/>
          <w:szCs w:val="21"/>
        </w:rPr>
        <w:t xml:space="preserve">two</w:t>
      </w:r>
      <w:r>
        <w:rPr>
          <w:color w:val="111827"/>
          <w:sz w:val="21"/>
          <w:szCs w:val="21"/>
        </w:rPr>
        <w:t xml:space="preserve"> connection URLs.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url</w:t>
      </w:r>
      <w:r>
        <w:rPr>
          <w:color w:val="111827"/>
          <w:sz w:val="21"/>
          <w:szCs w:val="21"/>
        </w:rPr>
        <w:t xml:space="preserve"> is Neon's pooled endpoint and carries every query the app makes;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directUrl</w:t>
      </w:r>
      <w:r>
        <w:rPr>
          <w:color w:val="111827"/>
          <w:sz w:val="21"/>
          <w:szCs w:val="21"/>
        </w:rPr>
        <w:t xml:space="preserve"> bypasses the pooler and exists solely for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</w:t>
      </w:r>
      <w:r>
        <w:rPr>
          <w:color w:val="111827"/>
          <w:sz w:val="21"/>
          <w:szCs w:val="21"/>
        </w:rPr>
        <w:t xml:space="preserve">, whose advisory locks do not survive transaction-mode pooling. On a database with no pooler in front of it — local Docker — both are set to the same string.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creates the other three services. After the first deploy, set by hand: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on the API,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on the web service (it is baked in at build time, so redeploy the static site after changing it), and the secrets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, the Flutterwave keys, and the SMS credentials.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via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before letting a real shop rely on it — the free Render tier deletes the database after 30 days.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How it works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2026-08-06T17:24:49.402Z</dcterms:created>
  <dcterms:modified xsi:type="dcterms:W3CDTF">2026-08-06T17:24:49.402Z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