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2026-08-17.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Password reset is built but not deliverable.</w:t>
      </w:r>
      <w:r>
        <w:rPr>
          <w:color w:val="111827"/>
          <w:sz w:val="21"/>
          <w:szCs w:val="21"/>
        </w:rPr>
        <w:t xml:space="preserve"> The flow exists end to end — emailed single-use token, thirty-minute expiry, all sessions revoked on completion — but with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MAIL_PROVIDER=log</w:t>
      </w:r>
      <w:r>
        <w:rPr>
          <w:color w:val="111827"/>
          <w:sz w:val="21"/>
          <w:szCs w:val="21"/>
        </w:rPr>
        <w:t xml:space="preserve"> (the default) the link lands in the server log, not an inbox.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MAIL_PROVIDER=resend</w:t>
      </w:r>
      <w:r>
        <w:rPr>
          <w:color w:val="111827"/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RESEND_API_KEY</w:t>
      </w:r>
      <w:r>
        <w:rPr>
          <w:color w:val="111827"/>
          <w:sz w:val="21"/>
          <w:szCs w:val="21"/>
        </w:rPr>
        <w:t xml:space="preserve"> and a verified sending domain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MAIL_FROM</w:t>
      </w:r>
      <w:r>
        <w:rPr>
          <w:color w:val="111827"/>
          <w:sz w:val="21"/>
          <w:szCs w:val="21"/>
        </w:rPr>
        <w:t xml:space="preserve">; the free tier's 100 emails/day is plenty for resets.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assistant's cost is now measured, not guessed.</w:t>
      </w:r>
      <w:r>
        <w:rPr>
          <w:color w:val="111827"/>
          <w:sz w:val="21"/>
          <w:szCs w:val="21"/>
        </w:rPr>
        <w:t xml:space="preserve"> Every assistant reply records its real input and output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and the platform dashboard prices the AI line from those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AI_INPUT_RWF_PER_MTOK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AI_OUTPUT_RWF_PER_MTOK</w:t>
      </w:r>
      <w:r>
        <w:rPr>
          <w:color w:val="111827"/>
          <w:sz w:val="21"/>
          <w:szCs w:val="21"/>
        </w:rPr>
        <w:t xml:space="preserve"> (older, unmetered replies still use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 estimate). What remains is judgement, not plumbing: check the dashboard's figure against a real provider invoice after the first month, keep the RWF-per-Mtok rates current when the exchange rate moves,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Starter's 300-question allowance does not cover its own cost.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The payment provider: built on MoMo, pending MTN's approval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MTN MoMo integration is </w:t>
      </w:r>
      <w:r>
        <w:rPr>
          <w:b/>
          <w:bCs/>
          <w:color w:val="111827"/>
          <w:sz w:val="21"/>
          <w:szCs w:val="21"/>
        </w:rPr>
        <w:t xml:space="preserve">built and working against the sandbox</w:t>
      </w:r>
      <w:r>
        <w:rPr>
          <w:color w:val="111827"/>
          <w:sz w:val="21"/>
          <w:szCs w:val="21"/>
        </w:rPr>
        <w:t xml:space="preserve">: the adapter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mtn-momo.service.ts</w:t>
      </w:r>
      <w:r>
        <w:rPr>
          <w:color w:val="111827"/>
          <w:sz w:val="21"/>
          <w:szCs w:val="21"/>
        </w:rPr>
        <w:t xml:space="preserve">), the PUSH screen — phone-number field, "approve on your phone" state, polling — and settlement that re-queries MTN for the real amount before crediting.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PAYMENT_PROVIDER=mtn-momo</w:t>
      </w:r>
      <w:r>
        <w:rPr>
          <w:color w:val="111827"/>
          <w:sz w:val="21"/>
          <w:szCs w:val="21"/>
        </w:rPr>
        <w:t xml:space="preserve"> selects it; Flutterwave remains the alternative adapter behind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payment-provider.ts</w:t>
      </w:r>
      <w:r>
        <w:rPr>
          <w:color w:val="111827"/>
          <w:sz w:val="21"/>
          <w:szCs w:val="21"/>
        </w:rPr>
        <w:t xml:space="preserve"> seam.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things the sandbox taught, so nobody re-learns them: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The sandbox settles EUR only.</w:t>
      </w:r>
      <w:r>
        <w:rPr>
          <w:color w:val="111827"/>
          <w:sz w:val="21"/>
          <w:szCs w:val="21"/>
        </w:rPr>
        <w:t xml:space="preserve"> RWF appears the moment production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credentials do; the settlement path relaxes the currency check in sandbox only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isSandbox</w:t>
      </w:r>
      <w:r>
        <w:rPr>
          <w:color w:val="111827"/>
          <w:sz w:val="21"/>
          <w:szCs w:val="21"/>
        </w:rPr>
        <w:t xml:space="preserve">), never in production.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MTN rejects non-ASCII in the handset prompt</w:t>
      </w:r>
      <w:r>
        <w:rPr>
          <w:color w:val="111827"/>
          <w:sz w:val="21"/>
          <w:szCs w:val="21"/>
        </w:rPr>
        <w:t xml:space="preserve"> with a bodyless 400 — an em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 in a plan name once broke every checkout.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toMomoText()</w:t>
      </w:r>
      <w:r>
        <w:rPr>
          <w:color w:val="111827"/>
          <w:sz w:val="21"/>
          <w:szCs w:val="21"/>
        </w:rPr>
        <w:t xml:space="preserve"> folds text to ASCII before sending; keep it on that path.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is no payee number to configure: money lands in the merchant wallet the API credentials belong to. Which wallet gets paid is decided at MTN onboarding, not in the app.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What still has to happen is commercial, not code: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Start MTN production onboarding now</w:t>
      </w:r>
      <w:r>
        <w:rPr>
          <w:color w:val="111827"/>
          <w:sz w:val="21"/>
          <w:szCs w:val="21"/>
        </w:rPr>
        <w:t xml:space="preserve"> (momodeveloper.mtn.com →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Collections product). It needs business verification and takes time — it is the gate between the working sandbox demo and receiving real money.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Paste the production credentials</w:t>
      </w:r>
      <w:r>
        <w:rPr>
          <w:color w:val="111827"/>
          <w:sz w:val="21"/>
          <w:szCs w:val="21"/>
        </w:rPr>
        <w:t xml:space="preserve"> into Render and set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MOMO_TARGET_ENVIRONMENT=production</w:t>
      </w:r>
      <w:r>
        <w:rPr>
          <w:color w:val="111827"/>
          <w:sz w:val="21"/>
          <w:szCs w:val="21"/>
        </w:rPr>
        <w:t xml:space="preserve"> with the production base URL. The app already behaves correctly on both sides of that switch.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Given mobile money is around 90% of payments in Rwanda, PUSH is the flow that matters. Cards are the edge case here, not the default — and if MTN onboarding stalls, the Flutterwave adapter is the fallback to actually attempt, since that choice was made from documentation, not from trying to sign 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~~Password reset~~ </w:t>
      </w:r>
      <w:r>
        <w:rPr>
          <w:i/>
          <w:iCs/>
          <w:color w:val="111827"/>
          <w:sz w:val="21"/>
          <w:szCs w:val="21"/>
        </w:rPr>
        <w:t xml:space="preserve">(done — turn on a real `MAIL_PROVIDER`)</w:t>
      </w:r>
      <w:r>
        <w:rPr>
          <w:color w:val="111827"/>
          <w:sz w:val="21"/>
          <w:szCs w:val="21"/>
        </w:rPr>
        <w:t xml:space="preserve">, email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 The mail seam now exists, so the emails are wiring, not infrastructure.)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~~Real AI cost measurement~~ </w:t>
      </w:r>
      <w:r>
        <w:rPr>
          <w:i/>
          <w:iCs/>
          <w:color w:val="111827"/>
          <w:sz w:val="21"/>
          <w:szCs w:val="21"/>
        </w:rPr>
        <w:t xml:space="preserve">(done)</w:t>
      </w:r>
      <w:r>
        <w:rPr>
          <w:color w:val="111827"/>
          <w:sz w:val="21"/>
          <w:szCs w:val="21"/>
        </w:rPr>
        <w:t xml:space="preserve"> — now make the pricing decision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dashboard's real numbers point 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2026-08-17T15:55:31.555Z</dcterms:created>
  <dcterms:modified xsi:type="dcterms:W3CDTF">2026-08-17T15:55:31.555Z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