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0F766E"/>
          <w:sz w:val="40"/>
          <w:szCs w:val="40"/>
        </w:rPr>
        <w:t xml:space="preserve">BizPilot — How it works</w:t>
      </w:r>
    </w:p>
    <w:p>
      <w:pPr>
        <w:spacing w:after="240"/>
      </w:pPr>
      <w:r>
        <w:rPr>
          <w:i/>
          <w:iCs/>
          <w:color w:val="6B7280"/>
          <w:sz w:val="18"/>
          <w:szCs w:val="18"/>
        </w:rPr>
        <w:t xml:space="preserve">Generated from the repository on 2026-08-09. The markdown source is authoritative.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1"/>
        <w:spacing w:after="120" w:before="240"/>
      </w:pPr>
      <w:r>
        <w:rPr>
          <w:b/>
          <w:bCs/>
          <w:color w:val="0F766E"/>
        </w:rPr>
        <w:t xml:space="preserve">How BizPilot works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This describes the system as it is built, module by module. It is written for whoever changes the code next — including the author six months from now.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Companion documents: </w:t>
      </w:r>
      <w:r>
        <w:rPr>
          <w:i/>
          <w:iCs/>
          <w:color w:val="111827"/>
          <w:sz w:val="21"/>
          <w:szCs w:val="21"/>
        </w:rPr>
        <w:t xml:space="preserve">SECURITY.md</w:t>
      </w:r>
      <w:r>
        <w:rPr>
          <w:color w:val="111827"/>
          <w:sz w:val="21"/>
          <w:szCs w:val="21"/>
        </w:rPr>
        <w:t xml:space="preserve"> for the honest list of what an attacker could do, and </w:t>
      </w:r>
      <w:r>
        <w:rPr>
          <w:i/>
          <w:iCs/>
          <w:color w:val="111827"/>
          <w:sz w:val="21"/>
          <w:szCs w:val="21"/>
        </w:rPr>
        <w:t xml:space="preserve">ROADMAP.md</w:t>
      </w:r>
      <w:r>
        <w:rPr>
          <w:color w:val="111827"/>
          <w:sz w:val="21"/>
          <w:szCs w:val="21"/>
        </w:rPr>
        <w:t xml:space="preserve"> for what is missing.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1. The shape of it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browser  ──HTTPS──▶  NestJS API  ──▶  PostgreSQL   (everything durable)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│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├──▶  Redis          (cache + BullMQ job queue)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├──▶  Anthropic API   (the assistant)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├──▶  Flutterwave     (subscriptions + invoice payment)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                          └──▶  Africa's Talking / Twilio  (SMS)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single npm workspaces monorepo: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Path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is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apps/api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NestJS. Every business rule lives here.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apps/web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React + Vite. A client. It enforces nothing.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packages/shared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Plan catalogue and money helpers, imported by both.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packages/shared</w:t>
      </w:r>
      <w:r>
        <w:rPr>
          <w:color w:val="111827"/>
          <w:sz w:val="21"/>
          <w:szCs w:val="21"/>
        </w:rPr>
        <w:t xml:space="preserve"> is the reason the pricing page can never disagree with what the server enforces: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PLANS</w:t>
      </w:r>
      <w:r>
        <w:rPr>
          <w:color w:val="111827"/>
          <w:sz w:val="21"/>
          <w:szCs w:val="21"/>
        </w:rPr>
        <w:t xml:space="preserve"> is one object, the web app renders from it and the API checks limits against it.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2. Two rules that explain most of the code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Money is an integer, never a float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amount — prices, totals, costs, SMS gateway charges, subscription payments — is an integer count of the currency's minor unit, stored as PostgreSQL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. RWF has no subunit in practice but is still stored ×100, so one code path serves RWF and USD and rounding never surprises anyone.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</w:t>
      </w:r>
      <w:r>
        <w:rPr>
          <w:color w:val="111827"/>
          <w:sz w:val="21"/>
          <w:szCs w:val="21"/>
        </w:rPr>
        <w:t xml:space="preserve"> and not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Int</w:t>
      </w:r>
      <w:r>
        <w:rPr>
          <w:color w:val="111827"/>
          <w:sz w:val="21"/>
          <w:szCs w:val="21"/>
        </w:rPr>
        <w:t xml:space="preserve"> because a plain 32-bit integer tops out near 21 million RWF, which a hardware store passes in a month.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Conversion happens only at the display boundary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formatMoney</w:t>
      </w:r>
      <w:r>
        <w:rPr>
          <w:color w:val="111827"/>
          <w:sz w:val="21"/>
          <w:szCs w:val="21"/>
        </w:rPr>
        <w:t xml:space="preserve">) and the input boundary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parseMoney</w:t>
      </w:r>
      <w:r>
        <w:rPr>
          <w:color w:val="111827"/>
          <w:sz w:val="21"/>
          <w:szCs w:val="21"/>
        </w:rPr>
        <w:t xml:space="preserve">). JSON has no BigInt,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</w:t>
      </w:r>
      <w:r>
        <w:rPr>
          <w:color w:val="111827"/>
          <w:sz w:val="21"/>
          <w:szCs w:val="21"/>
        </w:rPr>
        <w:t xml:space="preserve"> installs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BigInt.prototype.toJSON</w:t>
      </w:r>
      <w:r>
        <w:rPr>
          <w:color w:val="111827"/>
          <w:sz w:val="21"/>
          <w:szCs w:val="21"/>
        </w:rPr>
        <w:t xml:space="preserve"> that emits a number.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The tenant id is on every row and in every query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 business-owned table carries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. Every service method takes it as its first argument, and it comes from the JWT via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@BusinessId()</w:t>
      </w:r>
      <w:r>
        <w:rPr>
          <w:color w:val="111827"/>
          <w:sz w:val="21"/>
          <w:szCs w:val="21"/>
        </w:rPr>
        <w:t xml:space="preserve"> decorator — never from the request body or a URL parameter. A client cannot ask for another shop's data because it has no way to name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AI assistant follows the same rule in a stricter form: its tools are built as closures over one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 before the model is given them, so no prompt can widen their scope.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3. The API, module by module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Everything sits under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/api</w:t>
      </w:r>
      <w:r>
        <w:rPr>
          <w:color w:val="111827"/>
          <w:sz w:val="21"/>
          <w:szCs w:val="21"/>
        </w:rPr>
        <w:t xml:space="preserve"> prefix. Three global guards run in order: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JwtAuthGuard</w:t>
      </w:r>
      <w:r>
        <w:rPr>
          <w:color w:val="111827"/>
          <w:sz w:val="21"/>
          <w:szCs w:val="21"/>
        </w:rPr>
        <w:t xml:space="preserve"> (authenticate),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RolesGuard</w:t>
      </w:r>
      <w:r>
        <w:rPr>
          <w:color w:val="111827"/>
          <w:sz w:val="21"/>
          <w:szCs w:val="21"/>
        </w:rPr>
        <w:t xml:space="preserve"> (authorise),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ThrottlerGuard</w:t>
      </w:r>
      <w:r>
        <w:rPr>
          <w:color w:val="111827"/>
          <w:sz w:val="21"/>
          <w:szCs w:val="21"/>
        </w:rPr>
        <w:t xml:space="preserve"> (rate limit, 120 requests/minute).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common/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File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What it does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prisma/prisma.service.ts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Prisma client, with connect/disconnect wired to Nest's lifecycle.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redis/redis.service.ts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Thin typed get/set/del over ioredis. Used for the dashboard cache.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numbering/numbering.service.ts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Allocates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INV-0042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RCP-0117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sequences per business without races.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guards/jwt-auth.guard.ts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Validates the access token unless the route is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@Public()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guards/roles.guard.ts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Checks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@Roles()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 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OWNER always passes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— so decorators only list the </w:t>
            </w:r>
            <w:r>
              <w:rPr>
                <w:b w:val="false"/>
                <w:bCs w:val="false"/>
                <w:i/>
                <w:iCs/>
                <w:color w:val="111827"/>
                <w:sz w:val="20"/>
                <w:szCs w:val="20"/>
              </w:rPr>
              <w:t xml:space="preserve">lower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role that should also be allowed.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filters/prisma-exception.filter.ts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Turns Prisma error codes into HTTP responses (P2002 → 409, P2025 → 404) instead of leaking a stack trace.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decorators/index.ts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@Public()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@Roles()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@RequiresPlan()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@CurrentUser()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@BusinessId()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/>
      </w:pPr>
      <w:r>
        <w:t xml:space="preserve"/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config/configuration.ts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A Zod schema for the whole environment. The app </w:t>
      </w:r>
      <w:r>
        <w:rPr>
          <w:b/>
          <w:bCs/>
          <w:color w:val="111827"/>
          <w:sz w:val="21"/>
          <w:szCs w:val="21"/>
        </w:rPr>
        <w:t xml:space="preserve">refuses to boot</w:t>
      </w:r>
      <w:r>
        <w:rPr>
          <w:color w:val="111827"/>
          <w:sz w:val="21"/>
          <w:szCs w:val="21"/>
        </w:rPr>
        <w:t xml:space="preserve"> if anything required is missing or malformed, and refuses to boot in production if a JWT secret still holds a development placeholder. A misconfigured deploy should fail loudly at startup rather than silently at 2am when a webhook arrives.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auth/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Registration creates the entire tenant in one transaction: business, its default location, the owner user, and a trialing subscription. A half-created business would be worse than a failed signup.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Access token</w:t>
      </w:r>
      <w:r>
        <w:rPr>
          <w:color w:val="111827"/>
          <w:sz w:val="21"/>
          <w:szCs w:val="21"/>
        </w:rPr>
        <w:t xml:space="preserve"> — a JWT, 15 minutes, carrying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sub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email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,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role</w:t>
      </w:r>
      <w:r>
        <w:rPr>
          <w:color w:val="111827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Refresh token</w:t>
      </w:r>
      <w:r>
        <w:rPr>
          <w:color w:val="111827"/>
          <w:sz w:val="21"/>
          <w:szCs w:val="21"/>
        </w:rPr>
        <w:t xml:space="preserve"> — an opaque 48-byte random string. Only the SHA-256 hash 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stored, so a database leak does not yield usable tokens, and there is nothing to forge because it is checked against a row rather than a signature.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Rotation</w:t>
      </w:r>
      <w:r>
        <w:rPr>
          <w:color w:val="111827"/>
          <w:sz w:val="21"/>
          <w:szCs w:val="21"/>
        </w:rPr>
        <w:t xml:space="preserve"> — presenting a refresh token burns it and issues a new pair, so 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stolen token is usable at most once.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Login compares against a dummy bcrypt hash when the user does not exist, so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response time does not reveal which emails are registered.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Changing a password revokes every session.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entitlements/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single place that decides what a business may do right now.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distinction that matters: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plan</w:t>
      </w:r>
      <w:r>
        <w:rPr>
          <w:color w:val="111827"/>
          <w:sz w:val="21"/>
          <w:szCs w:val="21"/>
        </w:rPr>
        <w:t xml:space="preserve"> on the row is what they </w:t>
      </w:r>
      <w:r>
        <w:rPr>
          <w:b/>
          <w:bCs/>
          <w:color w:val="111827"/>
          <w:sz w:val="21"/>
          <w:szCs w:val="21"/>
        </w:rPr>
        <w:t xml:space="preserve">bought</w:t>
      </w:r>
      <w:r>
        <w:rPr>
          <w:color w:val="111827"/>
          <w:sz w:val="21"/>
          <w:szCs w:val="21"/>
        </w:rPr>
        <w:t xml:space="preserve">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effectivePlan()</w:t>
      </w:r>
      <w:r>
        <w:rPr>
          <w:color w:val="111827"/>
          <w:sz w:val="21"/>
          <w:szCs w:val="21"/>
        </w:rPr>
        <w:t xml:space="preserve"> is what they can </w:t>
      </w:r>
      <w:r>
        <w:rPr>
          <w:b/>
          <w:bCs/>
          <w:color w:val="111827"/>
          <w:sz w:val="21"/>
          <w:szCs w:val="21"/>
        </w:rPr>
        <w:t xml:space="preserve">use</w:t>
      </w:r>
      <w:r>
        <w:rPr>
          <w:color w:val="111827"/>
          <w:sz w:val="21"/>
          <w:szCs w:val="21"/>
        </w:rPr>
        <w:t xml:space="preserve">. During a trial that is Starter; after an expired trial it silently becomes Free — nothing is deleted, the limits just apply.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PAST_DUE</w:t>
      </w:r>
      <w:r>
        <w:rPr>
          <w:color w:val="111827"/>
          <w:sz w:val="21"/>
          <w:szCs w:val="21"/>
        </w:rPr>
        <w:t xml:space="preserve"> keeps paid access during the grace period.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Metered limits (sales, SMS, AI messages) use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UsageCounter</w:t>
      </w:r>
      <w:r>
        <w:rPr>
          <w:color w:val="111827"/>
          <w:sz w:val="21"/>
          <w:szCs w:val="21"/>
        </w:rPr>
        <w:t xml:space="preserve"> rows keyed by business + metric + month, incremented atomically. Checking and consuming are deliberately separate calls so a failed request does not burn the customer's quota.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products/</w:t>
      </w:r>
      <w:r>
        <w:rPr>
          <w:b/>
          <w:bCs/>
          <w:color w:val="111827"/>
        </w:rPr>
        <w:t xml:space="preserve">, </w:t>
      </w: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customers/</w:t>
      </w:r>
      <w:r>
        <w:rPr>
          <w:b/>
          <w:bCs/>
          <w:color w:val="111827"/>
        </w:rPr>
        <w:t xml:space="preserve">, </w:t>
      </w: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expenses/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Straightforward CRUD with soft deletes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deletedAt</w:t>
      </w:r>
      <w:r>
        <w:rPr>
          <w:color w:val="111827"/>
          <w:sz w:val="21"/>
          <w:szCs w:val="21"/>
        </w:rPr>
        <w:t xml:space="preserve">). Products can opt out of stock tracking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trackStock: false</w:t>
      </w:r>
      <w:r>
        <w:rPr>
          <w:color w:val="111827"/>
          <w:sz w:val="21"/>
          <w:szCs w:val="21"/>
        </w:rPr>
        <w:t xml:space="preserve">) for services and airtime.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sales/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most careful module in the codebase. Recording a sale, in one transaction: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Re-reads every product row and checks stock — the client's idea of stock is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never trusted.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Refuses to oversell a stock-tracked product.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Snapshots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unitCost</w:t>
      </w:r>
      <w:r>
        <w:rPr>
          <w:color w:val="111827"/>
          <w:sz w:val="21"/>
          <w:szCs w:val="21"/>
        </w:rPr>
        <w:t xml:space="preserve"> onto each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SaleItem</w:t>
      </w:r>
      <w:r>
        <w:rPr>
          <w:color w:val="111827"/>
          <w:sz w:val="21"/>
          <w:szCs w:val="21"/>
        </w:rPr>
        <w:t xml:space="preserve">. **This is why restocking at a new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price never rewrites last month's profit.**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Decrements stock with a conditional update, so two cashiers selling the last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item cannot both succeed.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Writes an append-only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StockMovement</w:t>
      </w:r>
      <w:r>
        <w:rPr>
          <w:color w:val="111827"/>
          <w:sz w:val="21"/>
          <w:szCs w:val="21"/>
        </w:rPr>
        <w:t xml:space="preserve"> row.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Updates the customer's balance if sold on credit.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color w:val="111827"/>
          <w:sz w:val="21"/>
          <w:szCs w:val="21"/>
        </w:rPr>
        <w:t xml:space="preserve">Increments the monthly sales counter.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Voiding restores stock and marks the sale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VOIDED</w:t>
      </w:r>
      <w:r>
        <w:rPr>
          <w:color w:val="111827"/>
          <w:sz w:val="21"/>
          <w:szCs w:val="21"/>
        </w:rPr>
        <w:t xml:space="preserve">; every report excludes voided sales.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invoices/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Invoices can be built from scratch or from a credit sale.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invoice-pdf.service.ts</w:t>
      </w:r>
      <w:r>
        <w:rPr>
          <w:color w:val="111827"/>
          <w:sz w:val="21"/>
          <w:szCs w:val="21"/>
        </w:rPr>
        <w:t xml:space="preserve"> renders with PDFKit. Each invoice carries a random public token,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/pay/:token</w:t>
      </w:r>
      <w:r>
        <w:rPr>
          <w:color w:val="111827"/>
          <w:sz w:val="21"/>
          <w:szCs w:val="21"/>
        </w:rPr>
        <w:t xml:space="preserve"> is reachable without an account — that is the link the customer receives. A daily cron marks overdue invoices and queues reminder SMS.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reports/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Read-only and aggregate-heavy, so it uses raw SQL where Prisma's query builder would force several round trips. Two rules apply to every query here: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Column names must be double-quoted.</w:t>
      </w:r>
      <w:r>
        <w:rPr>
          <w:color w:val="111827"/>
          <w:sz w:val="21"/>
          <w:szCs w:val="21"/>
        </w:rPr>
        <w:t xml:space="preserve"> Tables are snake_case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sale_items</w:t>
      </w:r>
      <w:r>
        <w:rPr>
          <w:color w:val="111827"/>
          <w:sz w:val="21"/>
          <w:szCs w:val="21"/>
        </w:rPr>
        <w:t xml:space="preserve">)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but columns keep Prisma's camelCase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"costTotal"</w:t>
      </w:r>
      <w:r>
        <w:rPr>
          <w:color w:val="111827"/>
          <w:sz w:val="21"/>
          <w:szCs w:val="21"/>
        </w:rPr>
        <w:t xml:space="preserve">). Postgres folds unquoted identifiers to lower case, so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SUM(cost_total)</w:t>
      </w:r>
      <w:r>
        <w:rPr>
          <w:color w:val="111827"/>
          <w:sz w:val="21"/>
          <w:szCs w:val="21"/>
        </w:rPr>
        <w:t xml:space="preserve"> fails.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Every SUM needs `::bigint`.</w:t>
      </w:r>
      <w:r>
        <w:rPr>
          <w:color w:val="111827"/>
          <w:sz w:val="21"/>
          <w:szCs w:val="21"/>
        </w:rPr>
        <w:t xml:space="preserve"> Postgres widens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SUM(bigint)</w:t>
      </w:r>
      <w:r>
        <w:rPr>
          <w:color w:val="111827"/>
          <w:sz w:val="21"/>
          <w:szCs w:val="21"/>
        </w:rPr>
        <w:t xml:space="preserve"> to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numeric</w:t>
      </w:r>
      <w:r>
        <w:rPr>
          <w:color w:val="111827"/>
          <w:sz w:val="21"/>
          <w:szCs w:val="21"/>
        </w:rPr>
        <w:t xml:space="preserve">,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which Prisma deserialises as a Decimal — it satisfies the TypeScript types and then throws at runtime the first time it meets a BigInt operand.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Endpoints: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dashboard</w:t>
      </w:r>
      <w:r>
        <w:rPr>
          <w:color w:val="111827"/>
          <w:sz w:val="21"/>
          <w:szCs w:val="21"/>
        </w:rPr>
        <w:t xml:space="preserve"> (cached 60s in Redis),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profit-loss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revenue-trend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top-products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dead-stock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sales-by-hour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cash-up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staff</w:t>
      </w:r>
      <w:r>
        <w:rPr>
          <w:color w:val="111827"/>
          <w:sz w:val="21"/>
          <w:szCs w:val="21"/>
        </w:rPr>
        <w:t xml:space="preserve">, plus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profit-loss.pdf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cash-up.pdf</w:t>
      </w:r>
      <w:r>
        <w:rPr>
          <w:color w:val="111827"/>
          <w:sz w:val="21"/>
          <w:szCs w:val="21"/>
        </w:rPr>
        <w:t xml:space="preserve">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two PDF routes are gated on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dataExport</w:t>
      </w:r>
      <w:r>
        <w:rPr>
          <w:color w:val="111827"/>
          <w:sz w:val="21"/>
          <w:szCs w:val="21"/>
        </w:rPr>
        <w:t xml:space="preserve"> plan feature and rendered by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report-pdf.service.ts</w:t>
      </w:r>
      <w:r>
        <w:rPr>
          <w:color w:val="111827"/>
          <w:sz w:val="21"/>
          <w:szCs w:val="21"/>
        </w:rPr>
        <w:t xml:space="preserve"> on top of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common/pdf/pdf-builder.ts</w:t>
      </w:r>
      <w:r>
        <w:rPr>
          <w:color w:val="111827"/>
          <w:sz w:val="21"/>
          <w:szCs w:val="21"/>
        </w:rPr>
        <w:t xml:space="preserve"> — a small layer over pdfkit that knows how to draw a table that paginates, a fill-in line, and a signature block. They exist because a shop asked for figures by a landlord, a co-operative, a loan officer or the RRA needs paper with a name on it, so every document states its period, who produced it, and carries signature blocks.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cash-up sheet is a </w:t>
      </w:r>
      <w:r>
        <w:rPr>
          <w:b/>
          <w:bCs/>
          <w:color w:val="111827"/>
          <w:sz w:val="21"/>
          <w:szCs w:val="21"/>
        </w:rPr>
        <w:t xml:space="preserve">form</w:t>
      </w:r>
      <w:r>
        <w:rPr>
          <w:color w:val="111827"/>
          <w:sz w:val="21"/>
          <w:szCs w:val="21"/>
        </w:rPr>
        <w:t xml:space="preserve">, not a report: the counted cash total is written on it by hand at the till before it is signed. A figure typed into a screen by the person holding the money is not a control. It is signed twice — by whoever counted, and by whoever took the money off them.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Both read from the same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ReportsService</w:t>
      </w:r>
      <w:r>
        <w:rPr>
          <w:color w:val="111827"/>
          <w:sz w:val="21"/>
          <w:szCs w:val="21"/>
        </w:rPr>
        <w:t xml:space="preserve"> the screens use, so there is no second calculation of profit that could disagree with what the owner saw.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Revenue is recognised when the sale happens, not when the cash arrives.</w:t>
      </w:r>
      <w:r>
        <w:rPr>
          <w:color w:val="111827"/>
          <w:sz w:val="21"/>
          <w:szCs w:val="21"/>
        </w:rPr>
        <w:t xml:space="preserve"> That is what makes profit meaningful for a shop selling on credit;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cashCollected</w:t>
      </w:r>
      <w:r>
        <w:rPr>
          <w:color w:val="111827"/>
          <w:sz w:val="21"/>
          <w:szCs w:val="21"/>
        </w:rPr>
        <w:t xml:space="preserve"> is reported alongside so the difference is visible.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`cash-up`</w:t>
      </w:r>
      <w:r>
        <w:rPr>
          <w:color w:val="111827"/>
          <w:sz w:val="21"/>
          <w:szCs w:val="21"/>
        </w:rPr>
        <w:t xml:space="preserve"> is the end-of-day close. The number that matters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cashExpected</w:t>
      </w:r>
      <w:r>
        <w:rPr>
          <w:color w:val="111827"/>
          <w:sz w:val="21"/>
          <w:szCs w:val="21"/>
        </w:rPr>
        <w:t xml:space="preserve">: cash sales minus cash paid out for expenses. MoMo and card never touch the till and a credit sale brings in nothing today, so neither belongs in the drawer figure.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ai/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Uses the Anthropic SDK's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client.beta.messages.toolRunner()</w:t>
      </w:r>
      <w:r>
        <w:rPr>
          <w:color w:val="111827"/>
          <w:sz w:val="21"/>
          <w:szCs w:val="21"/>
        </w:rPr>
        <w:t xml:space="preserve"> with nine tools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ai-tools.service.ts</w:t>
      </w:r>
      <w:r>
        <w:rPr>
          <w:color w:val="111827"/>
          <w:sz w:val="21"/>
          <w:szCs w:val="21"/>
        </w:rPr>
        <w:t xml:space="preserve">): today's takings, stock levels, who owes money, best sellers, and so on. Two deliberate choices: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Tools return </w:t>
      </w:r>
      <w:r>
        <w:rPr>
          <w:b/>
          <w:bCs/>
          <w:color w:val="111827"/>
          <w:sz w:val="21"/>
          <w:szCs w:val="21"/>
        </w:rPr>
        <w:t xml:space="preserve">formatted strings, not raw JSON</w:t>
      </w:r>
      <w:r>
        <w:rPr>
          <w:color w:val="111827"/>
          <w:sz w:val="21"/>
          <w:szCs w:val="21"/>
        </w:rPr>
        <w:t xml:space="preserve">, so the model never has to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guess a minor-unit conversion.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Every tool is a closure over one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businessId</w:t>
      </w:r>
      <w:r>
        <w:rPr>
          <w:color w:val="111827"/>
          <w:sz w:val="21"/>
          <w:szCs w:val="21"/>
        </w:rPr>
        <w:t xml:space="preserve">, bound before the model sees it.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With no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 the client is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null</w:t>
      </w:r>
      <w:r>
        <w:rPr>
          <w:color w:val="111827"/>
          <w:sz w:val="21"/>
          <w:szCs w:val="21"/>
        </w:rPr>
        <w:t xml:space="preserve"> and the endpoint returns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ServiceUnavailableException</w:t>
      </w:r>
      <w:r>
        <w:rPr>
          <w:color w:val="111827"/>
          <w:sz w:val="21"/>
          <w:szCs w:val="21"/>
        </w:rPr>
        <w:t xml:space="preserve"> with a plain message — not a 500. The key is one server-side value shared by every shop; no shop owner ever supplies one.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sms/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BullMQ queue over Redis with three interchangeable providers behind one interface: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log</w:t>
      </w:r>
      <w:r>
        <w:rPr>
          <w:color w:val="111827"/>
          <w:sz w:val="21"/>
          <w:szCs w:val="21"/>
        </w:rPr>
        <w:t xml:space="preserve"> (development),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africastalking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twilio</w:t>
      </w:r>
      <w:r>
        <w:rPr>
          <w:color w:val="111827"/>
          <w:sz w:val="21"/>
          <w:szCs w:val="21"/>
        </w:rPr>
        <w:t xml:space="preserve">. Every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SmsMessage</w:t>
      </w:r>
      <w:r>
        <w:rPr>
          <w:color w:val="111827"/>
          <w:sz w:val="21"/>
          <w:szCs w:val="21"/>
        </w:rPr>
        <w:t xml:space="preserve"> row stores the cost the gateway reported, which is what makes margin measurable.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billing/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Flutterwave Standard checkout. The rules: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b/>
          <w:bCs/>
          <w:color w:val="111827"/>
          <w:sz w:val="21"/>
          <w:szCs w:val="21"/>
        </w:rPr>
        <w:t xml:space="preserve">Nothing is credited on the browser's word.</w:t>
      </w:r>
      <w:r>
        <w:rPr>
          <w:color w:val="111827"/>
          <w:sz w:val="21"/>
          <w:szCs w:val="21"/>
        </w:rPr>
        <w:t xml:space="preserve"> Both the webhook and the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redirect call Flutterwave's verify endpoint server-side first.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color w:val="111827"/>
          <w:sz w:val="21"/>
          <w:szCs w:val="21"/>
        </w:rPr>
        <w:t xml:space="preserve">The webhook signature is checked against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verif-hash</w:t>
      </w:r>
      <w:r>
        <w:rPr>
          <w:color w:val="111827"/>
          <w:sz w:val="21"/>
          <w:szCs w:val="21"/>
        </w:rPr>
        <w:t xml:space="preserve"> header with a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constant-time compare, and </w:t>
      </w:r>
      <w:r>
        <w:rPr>
          <w:b/>
          <w:bCs/>
          <w:color w:val="111827"/>
          <w:sz w:val="21"/>
          <w:szCs w:val="21"/>
        </w:rPr>
        <w:t xml:space="preserve">rejects outright when no hash is configured</w:t>
      </w:r>
      <w:r>
        <w:rPr>
          <w:color w:val="111827"/>
          <w:sz w:val="21"/>
          <w:szCs w:val="21"/>
        </w:rPr>
        <w:t xml:space="preserve"> — an unset secret must not mean "accept everything".</w:t>
      </w:r>
    </w:p>
    <w:p>
      <w:pPr>
        <w:pStyle w:val="ListParagraph"/>
        <w:numPr>
          <w:ilvl w:val="0"/>
          <w:numId w:val="1"/>
        </w:numPr>
        <w:spacing w:after="60" w:line="264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settleTransaction</w:t>
      </w:r>
      <w:r>
        <w:rPr>
          <w:color w:val="111827"/>
          <w:sz w:val="21"/>
          <w:szCs w:val="21"/>
        </w:rPr>
        <w:t xml:space="preserve"> is the single idempotent settlement path for both routes,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keyed on our own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tx_ref</w:t>
      </w:r>
      <w:r>
        <w:rPr>
          <w:color w:val="111827"/>
          <w:sz w:val="21"/>
          <w:szCs w:val="21"/>
        </w:rPr>
        <w:t xml:space="preserve">, so a replayed webhook cannot double-credit.</w:t>
      </w:r>
    </w:p>
    <w:p>
      <w:pPr>
        <w:pStyle w:val="Heading3"/>
        <w:spacing w:after="120" w:before="300"/>
      </w:pPr>
      <w:r>
        <w:rPr>
          <w:rFonts w:ascii="Consolas" w:cs="Consolas" w:eastAsia="Consolas" w:hAnsi="Consolas"/>
          <w:b/>
          <w:bCs/>
          <w:color w:val="111827"/>
          <w:sz w:val="19"/>
          <w:szCs w:val="19"/>
        </w:rPr>
        <w:t xml:space="preserve">admin/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BizPilot's own books: MRR, ARR, trials in flight, trials ending within seven days, churn, cash collected by month, signups by week, and cost-to-serve (SMS + estimated AI) against revenue. Plus a table of every shop with usage, so a trial that is actually being used can be told apart from one that is not.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This is the only code that reads across tenants, which is the exact opposite of the rule everything else follows. That is why it is a separate module behind its own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PlatformAdminGuard</w:t>
      </w:r>
      <w:r>
        <w:rPr>
          <w:color w:val="111827"/>
          <w:sz w:val="21"/>
          <w:szCs w:val="21"/>
        </w:rPr>
        <w:t xml:space="preserve">, gated on the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 environment variable rather than a database column — nobody can grant it from inside the product, and an empty list means nobody rather than everybody.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4. The web app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React 18, Vite, TanStack Query for server state, Zustand for session and theme, Tailwind, Recharts, react-hook-form + Zod.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Path</w:t>
            </w:r>
          </w:p>
        </w:tc>
        <w:tc>
          <w:tcPr>
            <w:shd w:fill="F3F4F6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111827"/>
                <w:sz w:val="19"/>
                <w:szCs w:val="19"/>
              </w:rPr>
              <w:t xml:space="preserve">Notes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lib/api.ts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Axios instance. One shared refresh promise, so ten concurrent 401s trigger one refresh rather than ten.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lib/format.ts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Money and date formatting.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currencyDisplay: 'code'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prints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RWF 1,200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— left alone, </w:t>
            </w: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Intl</w:t>
            </w: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 renders RWF as "RF", which reads as a typo.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lib/charts.ts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Two validated categorical palettes, one per surface. See below.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store/auth.ts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Session, restore-on-load, role helpers.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store/theme.ts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Light/dark. Follows the OS until the user chooses once.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components/Layout.tsx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Sidebar on desktop, tab bar on phones.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components/HeroBackdrop.tsx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The drifting landing-page scenes.</w:t>
            </w:r>
          </w:p>
        </w:tc>
      </w:tr>
      <w:tr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rFonts w:ascii="Consolas" w:cs="Consolas" w:eastAsia="Consolas" w:hAnsi="Consolas"/>
                <w:b w:val="false"/>
                <w:bCs w:val="false"/>
                <w:color w:val="111827"/>
                <w:sz w:val="19"/>
                <w:szCs w:val="19"/>
              </w:rPr>
              <w:t xml:space="preserve">pages/</w:t>
            </w:r>
          </w:p>
        </w:tc>
        <w:tc>
          <w:tcPr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line="252"/>
            </w:pPr>
            <w:r>
              <w:rPr>
                <w:b w:val="false"/>
                <w:bCs w:val="false"/>
                <w:color w:val="111827"/>
                <w:sz w:val="20"/>
                <w:szCs w:val="20"/>
              </w:rPr>
              <w:t xml:space="preserve">One file per screen.</w:t>
            </w:r>
          </w:p>
        </w:tc>
      </w:tr>
    </w:tbl>
    <w:p>
      <w:pPr>
        <w:spacing w:after="160"/>
      </w:pPr>
      <w:r>
        <w:t xml:space="preserve"/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Money is formatted at the display boundary only; the API sends minor units throughout.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Charts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categorical palette is </w:t>
      </w:r>
      <w:r>
        <w:rPr>
          <w:b/>
          <w:bCs/>
          <w:color w:val="111827"/>
          <w:sz w:val="21"/>
          <w:szCs w:val="21"/>
        </w:rPr>
        <w:t xml:space="preserve">validated, not chosen by eye</w:t>
      </w:r>
      <w:r>
        <w:rPr>
          <w:color w:val="111827"/>
          <w:sz w:val="21"/>
          <w:szCs w:val="21"/>
        </w:rPr>
        <w:t xml:space="preserve"> — lightness band, chroma floor, colour-blind separation of adjacent pairs, normal-vision separation, and contrast against the surface.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There are two palettes because the light one measurably fails on a dark background: indigo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#4338CA</w:t>
      </w:r>
      <w:r>
        <w:rPr>
          <w:color w:val="111827"/>
          <w:sz w:val="21"/>
          <w:szCs w:val="21"/>
        </w:rPr>
        <w:t xml:space="preserve"> falls outside the lightness band and seven of the eight drop below 3:1 contrast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#1E293B</w:t>
      </w:r>
      <w:r>
        <w:rPr>
          <w:color w:val="111827"/>
          <w:sz w:val="21"/>
          <w:szCs w:val="21"/>
        </w:rPr>
        <w:t xml:space="preserve">. The dark set is the same eight hues re-stepped for that surface, in the same order so a series keeps its identity when the theme changes. Both pass all six checks.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Do not reorder or extend either list casually — adjacency is what was tested.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Dark mode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Implemented as overrides on the light utility classes under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html.dark</w:t>
      </w:r>
      <w:r>
        <w:rPr>
          <w:color w:val="111827"/>
          <w:sz w:val="21"/>
          <w:szCs w:val="21"/>
        </w:rPr>
        <w:t xml:space="preserve">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index.css</w:t>
      </w:r>
      <w:r>
        <w:rPr>
          <w:color w:val="111827"/>
          <w:sz w:val="21"/>
          <w:szCs w:val="21"/>
        </w:rPr>
        <w:t xml:space="preserve">, rather than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dark:</w:t>
      </w:r>
      <w:r>
        <w:rPr>
          <w:color w:val="111827"/>
          <w:sz w:val="21"/>
          <w:szCs w:val="21"/>
        </w:rPr>
        <w:t xml:space="preserve"> variant on every element. Twenty-odd screens already say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bg-white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text-slate-900</w:t>
      </w:r>
      <w:r>
        <w:rPr>
          <w:color w:val="111827"/>
          <w:sz w:val="21"/>
          <w:szCs w:val="21"/>
        </w:rPr>
        <w:t xml:space="preserve">; mapping those centrally means a new screen is dark-ready the moment it is written.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class is set on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&lt;html&gt;</w:t>
      </w:r>
      <w:r>
        <w:rPr>
          <w:color w:val="111827"/>
          <w:sz w:val="21"/>
          <w:szCs w:val="21"/>
        </w:rPr>
        <w:t xml:space="preserve"> by an inline script in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index.html</w:t>
      </w:r>
      <w:r>
        <w:rPr>
          <w:color w:val="111827"/>
          <w:sz w:val="21"/>
          <w:szCs w:val="21"/>
        </w:rPr>
        <w:t xml:space="preserve"> </w:t>
      </w:r>
      <w:r>
        <w:rPr>
          <w:b/>
          <w:bCs/>
          <w:color w:val="111827"/>
          <w:sz w:val="21"/>
          <w:szCs w:val="21"/>
        </w:rPr>
        <w:t xml:space="preserve">before first paint</w:t>
      </w:r>
      <w:r>
        <w:rPr>
          <w:color w:val="111827"/>
          <w:sz w:val="21"/>
          <w:szCs w:val="21"/>
        </w:rPr>
        <w:t xml:space="preserve"> — doing it in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useEffect</w:t>
      </w:r>
      <w:r>
        <w:rPr>
          <w:color w:val="111827"/>
          <w:sz w:val="21"/>
          <w:szCs w:val="21"/>
        </w:rPr>
        <w:t xml:space="preserve"> would flash a white page at anyone who chose dark.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Recharts is the exception: it takes colours as props, so CSS cannot reach the marks.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useChartTheme()</w:t>
      </w:r>
      <w:r>
        <w:rPr>
          <w:color w:val="111827"/>
          <w:sz w:val="21"/>
          <w:szCs w:val="21"/>
        </w:rPr>
        <w:t xml:space="preserve"> reads the theme store and returns the right values.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5. Running it</w:t>
      </w:r>
    </w:p>
    <w:p>
      <w:pPr>
        <w:shd w:fill="F3F4F6" w:val="clear"/>
        <w:spacing w:after="0" w:before="12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install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infra:up          # Postgres on 5434, Redis on 6380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cp apps/api/.env.example apps/api/.env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db:migrate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db:seed</w:t>
      </w:r>
    </w:p>
    <w:p>
      <w:pPr>
        <w:shd w:fill="F3F4F6" w:val="clear"/>
        <w:spacing w:after="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dev:api           # terminal 1</w:t>
      </w:r>
    </w:p>
    <w:p>
      <w:pPr>
        <w:shd w:fill="F3F4F6" w:val="clear"/>
        <w:spacing w:after="160" w:before="0"/>
        <w:ind w:left="200" w:right="200"/>
      </w:pPr>
      <w:r>
        <w:rPr>
          <w:rFonts w:ascii="Consolas" w:cs="Consolas" w:eastAsia="Consolas" w:hAnsi="Consolas"/>
          <w:color w:val="111827"/>
          <w:sz w:val="18"/>
          <w:szCs w:val="18"/>
        </w:rPr>
        <w:t xml:space="preserve">npm run dev:web           # terminal 2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demo@bizpilot.rw</w:t>
      </w:r>
      <w:r>
        <w:rPr>
          <w:color w:val="111827"/>
          <w:sz w:val="21"/>
          <w:szCs w:val="21"/>
        </w:rPr>
        <w:t xml:space="preserve"> /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demo1234</w:t>
      </w:r>
      <w:r>
        <w:rPr>
          <w:color w:val="111827"/>
          <w:sz w:val="21"/>
          <w:szCs w:val="21"/>
        </w:rPr>
        <w:t xml:space="preserve">. API docs at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/api/docs</w:t>
      </w:r>
      <w:r>
        <w:rPr>
          <w:color w:val="111827"/>
          <w:sz w:val="21"/>
          <w:szCs w:val="21"/>
        </w:rPr>
        <w:t xml:space="preserve"> in development only.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The seed builds three months of trading for a Kigali mini-market: ~1,100 sales with weekday and time-of-day patterns, credit customers, an overdue invoice and a deliberately overstocked item, so every report has something true to show.</w:t>
      </w:r>
    </w:p>
    <w:p>
      <w:pPr>
        <w:pStyle w:val="Heading3"/>
        <w:spacing w:after="120" w:before="300"/>
      </w:pPr>
      <w:r>
        <w:rPr>
          <w:b/>
          <w:bCs/>
          <w:color w:val="111827"/>
        </w:rPr>
        <w:t xml:space="preserve">Two Windows gotchas that cost real time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Vite's root must be `realpathSync.native(process.cwd())`.</w:t>
      </w:r>
      <w:r>
        <w:rPr>
          <w:color w:val="111827"/>
          <w:sz w:val="21"/>
          <w:szCs w:val="21"/>
        </w:rPr>
        <w:t xml:space="preserve"> This repo lives under a folder with a space in its name, so a launcher can start the dev server through the 8.3 short path (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MYPROJ~1</w:t>
      </w:r>
      <w:r>
        <w:rPr>
          <w:color w:val="111827"/>
          <w:sz w:val="21"/>
          <w:szCs w:val="21"/>
        </w:rPr>
        <w:t xml:space="preserve">). Vite resolves module ids through the same realpath call and always gets the long spelling back; if the root is still the short one, Vite decides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main.tsx</w:t>
      </w:r>
      <w:r>
        <w:rPr>
          <w:color w:val="111827"/>
          <w:sz w:val="21"/>
          <w:szCs w:val="21"/>
        </w:rPr>
        <w:t xml:space="preserve"> is outside the project and serves it untransformed. The symptom is a blank page, nothing in the browser console,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Failed to load url /src/main.tsx</w:t>
      </w:r>
      <w:r>
        <w:rPr>
          <w:color w:val="111827"/>
          <w:sz w:val="21"/>
          <w:szCs w:val="21"/>
        </w:rPr>
        <w:t xml:space="preserve"> in the server log.</w:t>
      </w:r>
    </w:p>
    <w:p>
      <w:pPr>
        <w:spacing w:after="140" w:line="276"/>
      </w:pPr>
      <w:r>
        <w:rPr>
          <w:b/>
          <w:bCs/>
          <w:color w:val="111827"/>
          <w:sz w:val="21"/>
          <w:szCs w:val="21"/>
        </w:rPr>
        <w:t xml:space="preserve">`incremental: false` in the API's tsconfig.</w:t>
      </w:r>
      <w:r>
        <w:rPr>
          <w:color w:val="111827"/>
          <w:sz w:val="21"/>
          <w:szCs w:val="21"/>
        </w:rPr>
        <w:t xml:space="preserve">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nest build</w:t>
      </w:r>
      <w:r>
        <w:rPr>
          <w:color w:val="111827"/>
          <w:sz w:val="21"/>
          <w:szCs w:val="21"/>
        </w:rPr>
        <w:t xml:space="preserve"> deletes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dist/</w:t>
      </w:r>
      <w:r>
        <w:rPr>
          <w:color w:val="111827"/>
          <w:sz w:val="21"/>
          <w:szCs w:val="21"/>
        </w:rPr>
        <w:t xml:space="preserve">, but an incremental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tsbuildinfo</w:t>
      </w:r>
      <w:r>
        <w:rPr>
          <w:color w:val="111827"/>
          <w:sz w:val="21"/>
          <w:szCs w:val="21"/>
        </w:rPr>
        <w:t xml:space="preserve"> then skips re-emitting files it thinks are unchanged, leaving a partial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dist/</w:t>
      </w:r>
      <w:r>
        <w:rPr>
          <w:color w:val="111827"/>
          <w:sz w:val="21"/>
          <w:szCs w:val="21"/>
        </w:rPr>
        <w:t xml:space="preserve"> and 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MODULE_NOT_FOUND</w:t>
      </w:r>
      <w:r>
        <w:rPr>
          <w:color w:val="111827"/>
          <w:sz w:val="21"/>
          <w:szCs w:val="21"/>
        </w:rPr>
        <w:t xml:space="preserve"> at runtime.</w:t>
      </w:r>
    </w:p>
    <w:p>
      <w:pPr>
        <w:pBdr>
          <w:bottom w:val="single" w:color="D1D5DB" w:sz="6" w:space="1"/>
        </w:pBdr>
        <w:spacing w:after="200" w:before="200"/>
      </w:pPr>
      <w:r>
        <w:t xml:space="preserve"/>
      </w:r>
    </w:p>
    <w:p>
      <w:pPr>
        <w:pStyle w:val="Heading2"/>
        <w:spacing w:after="120" w:before="300"/>
      </w:pPr>
      <w:r>
        <w:rPr>
          <w:b/>
          <w:bCs/>
          <w:color w:val="0F766E"/>
        </w:rPr>
        <w:t xml:space="preserve">6. Deploying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Postgres runs on </w:t>
      </w:r>
      <w:r>
        <w:rPr>
          <w:b/>
          <w:bCs/>
          <w:color w:val="111827"/>
          <w:sz w:val="21"/>
          <w:szCs w:val="21"/>
        </w:rPr>
        <w:t xml:space="preserve">Neon</w:t>
      </w:r>
      <w:r>
        <w:rPr>
          <w:color w:val="111827"/>
          <w:sz w:val="21"/>
          <w:szCs w:val="21"/>
        </w:rPr>
        <w:t xml:space="preserve">, everything else on </w:t>
      </w:r>
      <w:r>
        <w:rPr>
          <w:b/>
          <w:bCs/>
          <w:color w:val="111827"/>
          <w:sz w:val="21"/>
          <w:szCs w:val="21"/>
        </w:rPr>
        <w:t xml:space="preserve">Render</w:t>
      </w:r>
      <w:r>
        <w:rPr>
          <w:color w:val="111827"/>
          <w:sz w:val="21"/>
          <w:szCs w:val="21"/>
        </w:rPr>
        <w:t xml:space="preserve">. The split exists because Render's free Postgres is deleted after 30 days and Neon's free tier is not.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That costs one piece of complexity, and it is worth knowing where it lives: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schema.prisma</w:t>
      </w:r>
      <w:r>
        <w:rPr>
          <w:color w:val="111827"/>
          <w:sz w:val="21"/>
          <w:szCs w:val="21"/>
        </w:rPr>
        <w:t xml:space="preserve"> declares </w:t>
      </w:r>
      <w:r>
        <w:rPr>
          <w:b/>
          <w:bCs/>
          <w:color w:val="111827"/>
          <w:sz w:val="21"/>
          <w:szCs w:val="21"/>
        </w:rPr>
        <w:t xml:space="preserve">two</w:t>
      </w:r>
      <w:r>
        <w:rPr>
          <w:color w:val="111827"/>
          <w:sz w:val="21"/>
          <w:szCs w:val="21"/>
        </w:rPr>
        <w:t xml:space="preserve"> connection URLs.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url</w:t>
      </w:r>
      <w:r>
        <w:rPr>
          <w:color w:val="111827"/>
          <w:sz w:val="21"/>
          <w:szCs w:val="21"/>
        </w:rPr>
        <w:t xml:space="preserve"> is Neon's pooled endpoint and carries every query the app makes;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directUrl</w:t>
      </w:r>
      <w:r>
        <w:rPr>
          <w:color w:val="111827"/>
          <w:sz w:val="21"/>
          <w:szCs w:val="21"/>
        </w:rPr>
        <w:t xml:space="preserve"> bypasses the pooler and exists solely for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prisma migrate</w:t>
      </w:r>
      <w:r>
        <w:rPr>
          <w:color w:val="111827"/>
          <w:sz w:val="21"/>
          <w:szCs w:val="21"/>
        </w:rPr>
        <w:t xml:space="preserve">, whose advisory locks do not survive transaction-mode pooling. On a database with no pooler in front of it — local Docker — both are set to the same string.</w:t>
      </w:r>
    </w:p>
    <w:p>
      <w:pPr>
        <w:spacing w:after="140" w:line="276"/>
      </w:pPr>
      <w:r>
        <w:rPr>
          <w:rFonts w:ascii="Consolas" w:cs="Consolas" w:eastAsia="Consolas" w:hAnsi="Consolas"/>
          <w:color w:val="111827"/>
          <w:sz w:val="19"/>
          <w:szCs w:val="19"/>
        </w:rPr>
        <w:t xml:space="preserve">render.yaml</w:t>
      </w:r>
      <w:r>
        <w:rPr>
          <w:color w:val="111827"/>
          <w:sz w:val="21"/>
          <w:szCs w:val="21"/>
        </w:rPr>
        <w:t xml:space="preserve"> creates the other three services. After the first deploy, set by hand: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WEB_URL</w:t>
      </w:r>
      <w:r>
        <w:rPr>
          <w:color w:val="111827"/>
          <w:sz w:val="21"/>
          <w:szCs w:val="21"/>
        </w:rPr>
        <w:t xml:space="preserve"> and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CORS_ORIGINS</w:t>
      </w:r>
      <w:r>
        <w:rPr>
          <w:color w:val="111827"/>
          <w:sz w:val="21"/>
          <w:szCs w:val="21"/>
        </w:rPr>
        <w:t xml:space="preserve"> on the API,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VITE_API_URL</w:t>
      </w:r>
      <w:r>
        <w:rPr>
          <w:color w:val="111827"/>
          <w:sz w:val="21"/>
          <w:szCs w:val="21"/>
        </w:rPr>
        <w:t xml:space="preserve"> on the web service (it is baked in at build time, so redeploy the static site after changing it), and the secrets —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PLATFORM_ADMIN_EMAILS</w:t>
      </w:r>
      <w:r>
        <w:rPr>
          <w:color w:val="111827"/>
          <w:sz w:val="21"/>
          <w:szCs w:val="21"/>
        </w:rPr>
        <w:t xml:space="preserve">,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ANTHROPIC_API_KEY</w:t>
      </w:r>
      <w:r>
        <w:rPr>
          <w:color w:val="111827"/>
          <w:sz w:val="21"/>
          <w:szCs w:val="21"/>
        </w:rPr>
        <w:t xml:space="preserve">, the Flutterwave keys, and the SMS credentials.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Migrations run automatically on every deploy via </w:t>
      </w:r>
      <w:r>
        <w:rPr>
          <w:rFonts w:ascii="Consolas" w:cs="Consolas" w:eastAsia="Consolas" w:hAnsi="Consolas"/>
          <w:color w:val="111827"/>
          <w:sz w:val="19"/>
          <w:szCs w:val="19"/>
        </w:rPr>
        <w:t xml:space="preserve">prisma migrate deploy</w:t>
      </w:r>
      <w:r>
        <w:rPr>
          <w:color w:val="111827"/>
          <w:sz w:val="21"/>
          <w:szCs w:val="21"/>
        </w:rPr>
        <w:t xml:space="preserve"> in the start command.</w:t>
      </w:r>
    </w:p>
    <w:p>
      <w:pPr>
        <w:spacing w:after="140" w:line="276"/>
      </w:pPr>
      <w:r>
        <w:rPr>
          <w:color w:val="111827"/>
          <w:sz w:val="21"/>
          <w:szCs w:val="21"/>
        </w:rPr>
        <w:t xml:space="preserve">Read </w:t>
      </w:r>
      <w:r>
        <w:rPr>
          <w:i/>
          <w:iCs/>
          <w:color w:val="111827"/>
          <w:sz w:val="21"/>
          <w:szCs w:val="21"/>
        </w:rPr>
        <w:t xml:space="preserve">ROADMAP.md</w:t>
      </w:r>
      <w:r>
        <w:rPr>
          <w:color w:val="111827"/>
          <w:sz w:val="21"/>
          <w:szCs w:val="21"/>
        </w:rPr>
        <w:t xml:space="preserve"> before letting a real shop rely on it — the free Render tier deletes the database after 30 days.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  <w:pPr>
        <w:ind w:left="360" w:hanging="260"/>
      </w:pPr>
    </w:lvl>
    <w:lvl w:ilvl="1" w15:tentative="1">
      <w:start w:val="1"/>
      <w:numFmt w:val="decimal"/>
      <w:lvlText w:val="%2."/>
      <w:lvlJc w:val="start"/>
      <w:pPr>
        <w:ind w:left="720" w:hanging="260"/>
      </w:pPr>
    </w:lvl>
    <w:lvl w:ilvl="2" w15:tentative="1">
      <w:start w:val="1"/>
      <w:numFmt w:val="decimal"/>
      <w:lvlText w:val="%3."/>
      <w:lvlJc w:val="start"/>
      <w:pPr>
        <w:ind w:left="108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1182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BizPilot — How it works</dc:title>
  <dc:creator>BizPilot</dc:creator>
  <dc:description>Generated from the markdown source in the BizPilot repository.</dc:description>
  <cp:lastModifiedBy>Un-named</cp:lastModifiedBy>
  <cp:revision>1</cp:revision>
  <dcterms:created xsi:type="dcterms:W3CDTF">2026-08-09T21:47:02.081Z</dcterms:created>
  <dcterms:modified xsi:type="dcterms:W3CDTF">2026-08-09T21:47:02.081Z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