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 measures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Child-specific measures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Adult-specific measures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60)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Child-first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32)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Adult-first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28)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60)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Child-first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32)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Adult-first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28)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60)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Child-first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32)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Adult-first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28)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household members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4.43 (1.45; 2.00-9.00)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3.97 (1.09; 2.00-6.00)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4.96 (1.64; 3.00-9.00)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children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34.91 (10.97; 16.67-60.00)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36.25 (10.27; 16.67-50.00)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33.38 (11.71; 20.00-60.00)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adults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65.09 (10.97; 40.00-83.33)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63.75 (10.27; 50.00-83.33)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66.62 (11.71; 40.00-80.00)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Child-to-adult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(0.29; 0.20-1.50)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(0.27; 0.20-1.00)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(0.32; 0.25-1.50)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males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44.05 (17.61;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42.71 (18.31;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45.59 (16.97; 14.29-75.00)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49.44 (44.25;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50.00 (45.79;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48.81 (43.25;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41.86 (14.21;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40.05 (15.32;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43.93 (12.78; 20.00-66.67)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females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55.95 (17.61; 25.00-100.00)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57.29 (18.31;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54.41 (16.97; 25.00-85.71)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50.56 (44.25;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50.00 (45.79;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51.19 (43.25;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58.14 (14.21;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59.95 (15.32;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56.07 (12.78; 33.33-80.00)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Male-to-female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(0.74;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(0.67;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(0.83; 0.17-3.00)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 (NA; 0.00-Inf)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 (NA; 0.00-Inf)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 (NA; 0.00-Inf)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(0.40;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(0.45; 0.25-2.00)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33.69 (8.26; 18.07-52.08)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33.49 (8.27; 18.07-52.08)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33.92 (8.39; 20.16-51.80)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8.52 (4.92; 0.10-15.20)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9.53 (4.70; 0.40-15.20)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7.37 (5.00; 0.10-14.20)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46.83 (8.09; 26.90-65.30)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46.75 (8.50; 26.90-65.30)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46.92 (7.74; 33.30-64.60)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BMI†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22.05 (3.63; 16.66-36.17)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23.24 (3.77; 18.74-36.17)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20.68 (2.97; 16.66-29.60)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18.94 (6.21; 12.87-44.58)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20.07 (7.69; 13.22-44.58)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17.65 (3.63; 12.87-28.89)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24.93 (3.76; 17.99-34.99)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25.57 (3.13; 20.57-34.99)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24.18 (4.33; 17.99-34.57)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any pre-existing medical condition†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31.14 (24.90;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37.86 (27.80;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23.46 (18.79;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27.50 (39.52;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26.56 (40.13;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28.57 (39.51;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32.83 (32.10;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42.76 (35.99;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21.49 (22.66;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heart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 (7.65;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3.49 (8.62;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(6.30;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(12.91;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3.57 (18.90;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2.88 (9.95;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5.31 (13.11;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hypertension†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10.31 (16.33;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13.23 (18.63;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6.96 (12.75;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18.56 (29.97;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21.20 (30.22;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15.43 (29.93;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lung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 (6.34;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(6.77;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 (5.94;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(14.34;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 (17.68;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 (9.45;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 (4.56;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(4.42;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(4.81;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low immunity†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kidney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(4.78;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(2.95; 0.00-16.67)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(6.30;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(6.45;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 (9.45;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(2.60;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(3.54;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brain disorder†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(6.45;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 (9.45;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(12.91;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3.57 (18.90;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gastrointestinal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immunodeficiency†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diabetes†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4.64 (11.18;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5.47 (11.71;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3.69 (10.67;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8.47 (20.79;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9.38 (20.27;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7.41 (21.72;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arthritis†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 (7.53;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2.86 (8.09;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 (6.94;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4.66 (16.18;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4.69 (12.86;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4.63 (19.66;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tuberculosis†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malaria†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allergic rhinitis†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15.25 (23.00;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15.83 (23.28;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14.58 (23.09;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18.33 (33.15;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21.88 (35.78;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14.29 (29.99;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12.01 (27.69;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9.64 (26.19;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14.81 (29.63;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hyperlipidaemia†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8.31 (14.41;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11.15 (16.24;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5.06 (11.42;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14.41 (25.98;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18.23 (27.55;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9.88 (23.69;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asthma†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 (9.71;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 (9.23;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2.68 (10.41;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4.17 (19.07;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 (17.68;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5.36 (20.81;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(4.13;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(3.54;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(4.81;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Overall baseline case rate at enrolment (percentage of baseline cases at enrolment per household)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44.44 (19.20; 16.67-83.33)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31.61 (13.26; 16.67-75.00)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59.09 (13.64; 40.00-83.33)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82.50 (24.44;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83.33 (25.40;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81.55 (23.72;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26.81 (28.97;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5.21 (14.32;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51.49 (20.35; 25.00-100.00)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Overall endpoint case rate (percentage of cases identified by the end of follow-up per household)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62.87 (28.17; 16.67-100.00)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47.29 (26.69; 16.67-100.00)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80.67 (17.33; 40.00-100.00)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90.83 (19.75;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84.38 (23.92;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98.21 (9.45;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49.61 (38.75;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28.91 (37.98;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73.27 (23.16; 25.00-100.00)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Incident rate (crude attack rate; percentage of incident cases among participants at risk at enrolment)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37.56 (40.78;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23.59 (35.82;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53.51 (40.81;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50.00 (50.00;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(15.81;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90.91 (30.15;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33.62 (40.79;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25.26 (38.65;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43.91 (41.74;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fever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(0.83;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(0.99;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(0.59;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(0.96;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 (0.80;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(0.89;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(1.10;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(0.74;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cough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(0.70;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 (0.78;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(0.61;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 (0.73;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(0.79;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(0.67;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(0.70;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(0.86;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(0.61;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sore throat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(0.58;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(0.66;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(0.47;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(0.64;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(0.72;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(0.50;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(0.74;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(0.78;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(0.71;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runny nose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(0.69;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 (0.81;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 (0.50;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 (0.72;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(0.83;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 (0.56;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(0.50;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(0.64;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(0.39;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difficulty breathing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(0.26;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(0.38;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 (0.34;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(0.50;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headache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(0.54;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(0.58;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(0.63;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(0.69;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(0.65;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 (0.71;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myalgia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(0.46;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(0.50;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(0.44;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(0.89;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(1.08;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(0.78;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chills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(0.32;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(0.32;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(0.33;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(0.31;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(0.18;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(0.42;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(0.82;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(0.92;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(0.77;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fatigue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(0.60;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(0.67;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(0.51;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(0.61;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(0.65;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 (0.57;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 (0.75;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(0.71;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 (0.77;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diarrhoea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(0.35;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(0.43;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(0.48;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(0.42;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(0.60;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 (0.25;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loss of smell/taste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(0.46;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(0.58;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(0.28;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(0.45;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(0.55;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(0.28;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(0.52;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(0.52;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vomiting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(0.25;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(0.20; 0.00-0.67)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(0.31;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hoarseness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(0.47;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(0.35; 0.00-1.20)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(0.56;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(0.48;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(0.41;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fever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 (0.95;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 (0.76;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(0.92;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(0.98;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(0.86;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(1.19;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cough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 (0.77;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 (0.78;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 (0.74;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 (0.75;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(0.78;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 (0.71;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 (0.82;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 (0.83;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 (0.83;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sore throat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(0.85;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(0.76;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(0.94;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(0.70;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(0.72;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(0.68;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(0.79;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 (0.90;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runny nose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 (0.72;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 (0.81;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(0.60;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 (0.73;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(0.83;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(0.60;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(0.57;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(0.70;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(0.49;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difficulty breathing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(0.52;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(0.76;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(0.52;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(0.76;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headache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(0.79;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(0.62;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(0.94;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(0.62;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(0.70;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(0.86;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(0.69;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myalgia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 (0.95;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(1.01;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(0.58;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(0.61;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 (1.07;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(1.14;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 (1.03;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chills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(0.73;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(0.59;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(0.84;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(0.31;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(0.18;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(0.42;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(0.92;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(0.93;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(0.92;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fatigue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(0.90;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(0.84;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(0.93;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(0.63;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(0.66;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(0.60;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(0.90;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 (0.95;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diarrhoea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(0.47;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(0.46;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(0.52;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(0.45;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(0.60;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(0.33;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loss of smell/taste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(0.80;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(0.77;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(0.85;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(0.56;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(0.55;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(0.57;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(0.93;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(0.86;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vomiting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(0.39;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(0.39;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hoarseness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(0.74;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(0.66;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(0.84;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(0.72;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(0.83;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(0.44;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(0.47;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(0.44;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minimally/(a)symptomatic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9.97 (23.20;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8.44 (22.45;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11.73 (24.33;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10.56 (27.44;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9.38 (26.75;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11.90 (28.64;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8.93 (22.44;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9.09 (30.15;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8.82 (16.79;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moderately 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37.19 (40.42;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44.58 (43.79;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28.75 (35.07;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37.78 (46.73;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43.75 (48.78;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30.95 (44.15;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29.17 (41.23;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45.45 (47.19;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18.63 (34.30;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highly 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52.83 (42.13;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46.98 (45.22;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59.52 (37.99;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51.67 (47.90;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46.88 (49.08;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57.14 (46.80;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61.90 (42.76;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45.45 (47.19;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72.55 (37.24;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cases without symptom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21.35 (23.58;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 (16.93;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36.82 (20.52;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53.93 (39.80;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33.33 (42.87;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64.23 (34.50;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ORF1ab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27.03 (4.75; 17.47-39.21)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27.30 (5.45; 17.47-38.80)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26.75 (3.99; 19.84-39.21)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26.48 (5.51; 15.31-40.04)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26.89 (6.00; 15.31-38.80)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26.06 (5.04; 17.17-40.04)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27.40 (5.37; 19.98-39.85)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28.26 (6.53; 19.98-39.85)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26.99 (4.81; 20.42-39.41)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24.82 (4.59; 14.13-36.94)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24.91 (5.20; 14.13-35.31)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24.74 (3.95; 17.17-36.94)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24.31 (5.47; 13.52-38.77)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24.38 (5.73; 13.52-35.31)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24.23 (5.30; 15.50-38.77)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25.32 (5.44; 17.12-38.74)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26.17 (6.83; 17.12-38.74)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24.91 (4.73; 18.62-36.69)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E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25.36 (5.19; 14.49-38.91)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25.23 (5.89; 14.49-36.74)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25.49 (4.47; 17.84-38.91)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25.17 (5.72;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25.53 (6.05; 14.49-36.74)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24.82 (5.45;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25.33 (5.01; 17.57-38.60)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24.52 (4.77; 17.57-33.50)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25.66 (5.15; 19.11-38.60)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Lowest ORF1ab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23.58 (5.98; 15.31-38.80)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24.94 (6.48; 15.31-38.80)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22.18 (5.16; 15.59-38.37)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25.64 (5.61; 15.31-40.04)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26.50 (6.12; 15.31-38.80)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24.78 (5.01; 17.17-40.04)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24.57 (6.70; 15.59-39.85)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25.89 (7.94; 17.21-39.85)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23.93 (6.07; 15.59-39.41)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Lowest N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21.31 (5.70; 13.52-35.31)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22.59 (6.19; 13.52-35.31)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19.98 (4.90; 14.14-35.10)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23.46 (5.59; 13.52-38.77)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23.98 (5.90; 13.52-35.31)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22.94 (5.32; 15.50-38.77)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22.52 (6.76; 14.14-38.74)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23.94 (8.23; 14.33-38.74)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21.84 (5.98; 14.14-36.69)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Lowest E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22.26 (6.30; 14.28-38.60)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23.63 (6.56; 14.49-36.74)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20.85 (5.80; 14.28-38.60)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24.32 (5.84;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25.12 (6.18; 14.49-36.74)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23.52 (5.46;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22.51 (6.23; 14.77-38.60)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21.89 (5.60; 16.04-32.80)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22.76 (6.56; 14.77-38.60)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previous COVID-19 infections†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(0.44;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(0.40;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(0.48;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(0.47;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 (0.47;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(0.51;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(0.47;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infection within 6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4.96 (14.07;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7.14 (17.66;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2.48 (7.91;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7.22 (20.84;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10.42 (26.27;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3.57 (11.44;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infection 6–12 months earlier†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19.50 (27.69;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21.88 (30.56;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16.78 (24.28;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9.58 (25.25;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12.50 (28.40;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6.25 (21.11;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23.86 (33.12;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26.04 (36.15;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21.37 (29.74;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infection more than 12 months earlier†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30.98 (36.40;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33.23 (37.51;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28.42 (35.58;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29.17 (43.46;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34.38 (44.79;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23.21 (41.90;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32.72 (39.79;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34.11 (41.01;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31.13 (39.03;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no previous COVID-19 infection†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44.56 (35.07;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37.76 (32.66;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52.33 (36.68;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61.25 (45.20;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53.13 (45.68;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70.54 (43.60;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36.19 (37.59;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29.43 (35.80;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43.93 (38.74;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unknown previous COVID-19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(4.36;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 (5.23;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(3.15; 0.00-16.67)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(6.45;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 (8.84;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(4.10;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(3.54;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(4.72;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COVID-19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2.87 (0.69; 1.20-4.20)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2.99 (0.68; 1.50-4.20)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2.74 (0.70; 1.20-4.00)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 (1.05;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 (0.97; 0.00-3.50)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 (1.12;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3.55 (0.70; 1.33-5.00)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3.65 (0.68; 1.33-4.67)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3.42 (0.72; 2.00-5.00)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mRNA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 (0.65;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 (0.55; 0.33-3.00)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 (0.73;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 (1.10;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 (0.98; 0.00-3.50)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 (1.18;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 (0.66;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 (0.65;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 (0.67;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inactivated-virus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(0.44; 0.00-1.33)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(0.45; 0.00-1.33)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(0.43; 0.00-1.33)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(0.24;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(0.09; 0.00-0.50)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(0.33;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(0.67;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(0.69;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(0.61;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viral vector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(0.43;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(0.45;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 (0.39; 0.25-1.60)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(0.13;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 (0.19;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 (0.61;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 (0.56; 0.33-2.00)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other COVID-19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(0.05; 0.00-0.40)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(0.08; 0.00-0.40)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(0.26;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(0.38;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vaccination &lt;6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12.67 (24.61; 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9.53 (23.54; 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16.25 (25.74;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11.86 (31.26;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 (25.74;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16.67 (36.69;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14.17 (30.04;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10.42 (28.63;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18.45 (31.54;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vaccination 6–12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29.64 (32.96;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28.54 (34.50;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30.90 (31.70;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30.51 (43.57;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26.56 (42.09;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35.19 (45.60;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28.11 (36.32;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28.39 (38.85;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27.80 (33.91;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vaccination &gt;12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48.01 (38.72;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53.75 (39.57;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41.44 (37.34;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31.21 (44.06;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45.83 (48.27;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13.89 (31.27;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57.17 (44.56;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60.16 (44.23;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53.75 (45.48;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who had never received COVID-19 vaccination†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9.69 (15.64; 0.00-60.00)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8.18 (14.96;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11.41 (16.48; 0.00-60.00)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26.41 (41.64;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19.79 (37.49;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34.26 (45.55;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(4.30;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(5.89;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unknown COVID-19 vaccination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(3.62;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 (5.25;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(14.34;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5.36 (20.81;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cases with available viral genome sequence data‡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74.03 (32.84;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72.55 (37.97;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75.71 (26.39;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81.94 (32.95;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81.25 (37.57;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82.74 (27.40;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68.65 (39.98;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56.55 (46.25;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74.70 (35.82;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Household major SARS-CoV-2 lineage‡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XBB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XBL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(SD; Min-Max); n (%)</w:t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Wilcoxon rank sum exact test; NA; Fisher's exact test</w:t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Mean (SD; Min-Max)</w:t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preserve">Wilcoxon rank sum test; NA; Wilcoxon rank sum exact test</w:t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  <w:r>
              <w:rPr>
                <w:rFonts w:ascii="Calibri" w:hAnsi="Calibri"/>
                <w:sz w:val="20"/>
              </w:rPr>
              <w:t xml:space="preserve">Wilcoxon rank sum test; Wilcoxon rank sum exact test; NA</w:t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† Comorbidity, previous infection, vaccination, and BMI variables were calculated among household members with available information. ‡ Symptom severity scores, PCR Ct values, and lineage information were calculated among cases identified by the end of follow-up with available information.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2026-08-26T11:17:55Z</dcterms:created>
  <dcterms:modified xsi:type="dcterms:W3CDTF">2026-08-26T11:17:55Z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