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Pipes &amp; Tubes — system logic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Business rules and entity connections for the new build. All eleven questions are answered and nothing is open. Sales Dashboard is parked; its spec follows once production and dispatch are done.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The chain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Everything else hangs off this. One object — the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allocation row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carries traceability end to end.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Mother Coil ──slit──► Baby Coil ──consumed by──► Production Batch ──drawn by──► Invoice Line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(bought)             (strip)                     (pipes made)                   (sold)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ALLOCATION ROW = { baby coil, mother coil, pieces, weight }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created at Production · inherited unchanged by the Invoice Line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Six rules that govern the whole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Weight comes from the SKU master's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weight-per-tube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The system never recalculates it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Pieces are stored; weight is derived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03060"/>
          <w:sz w:val="19"/>
          <w:szCs w:val="19"/>
        </w:rPr>
        <w:t xml:space="preserve">pieces × weight-per-tube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). Storing both lets them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 allocation row carries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the baby coil and its mother. Baby drives capacity, mother drives costing.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Production consumes baby coils, never mother coils.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Counting both double-counts the steel.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Allocation is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many-to-many both ways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one invoice line can span coils, one coil feeds many lines. Never store "the coil" as a single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Impossible states block. Unusual states warn.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 warning that saves anyway is not a validation.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1. Invoice → Mother Coil traceability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invoice line does not choose coils. It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inherits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them from production, oldest batch first.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1. Queue every allocation row for this SKU, oldest production date first.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2. Discard from the head the pieces already taken by earlier invoice lines of the same SKU.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3. Take the next N pieces off the head; split a row when only part of it is needed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(weight-per-piece within a row = row weight ÷ row pieces).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4. Store the resulting rows on the invoice line.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line for 500 pieces may carry three allocation rows across two mother coils. That is correct.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To report "how much of coil X was dispatched":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sum allocation-row weights where mother = X. Never sum the invoice line's total weight — that dumps a multi-coil line onto one coil.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2. The three POs — one per stage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Vendor PO          Contractor PO           Customer PO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(we buy steel)   (we buy manufacturing)   (they buy pipe)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   │                   │                     │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   ▼                   ▼                     ▼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Mother Coil ─► Baby Coil ─► Production Batch ─► Invoice Line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1338"/>
        <w:gridCol w:w="4077"/>
        <w:gridCol w:w="4331"/>
      </w:tblGrid>
      <w:tr>
        <w:trPr>
          <w:tblHeader/>
        </w:trPr>
        <w:tc>
          <w:tcPr>
            <w:tcW w:type="dxa" w:w="1338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</w:t>
            </w:r>
          </w:p>
        </w:tc>
        <w:tc>
          <w:tcPr>
            <w:tcW w:type="dxa" w:w="407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Attaches to</w:t>
            </w:r>
          </w:p>
        </w:tc>
        <w:tc>
          <w:tcPr>
            <w:tcW w:type="dxa" w:w="433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type="dxa" w:w="13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Vendor / Steel PO</w:t>
            </w:r>
          </w:p>
        </w:tc>
        <w:tc>
          <w:tcPr>
            <w:tcW w:type="dxa" w:w="40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mother coil; inherited by its baby coils</w:t>
            </w:r>
          </w:p>
        </w:tc>
        <w:tc>
          <w:tcPr>
            <w:tcW w:type="dxa" w:w="43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Which purchase did this steel arrive on</w:t>
            </w:r>
          </w:p>
        </w:tc>
      </w:tr>
      <w:tr>
        <w:tc>
          <w:tcPr>
            <w:tcW w:type="dxa" w:w="1338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Contractor PO</w:t>
            </w:r>
          </w:p>
        </w:tc>
        <w:tc>
          <w:tcPr>
            <w:tcW w:type="dxa" w:w="4077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production batch</w:t>
            </w:r>
          </w:p>
        </w:tc>
        <w:tc>
          <w:tcPr>
            <w:tcW w:type="dxa" w:w="433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Which pipes a contractor made, and how much of that PO is still open</w:t>
            </w:r>
          </w:p>
        </w:tc>
      </w:tr>
      <w:tr>
        <w:tc>
          <w:tcPr>
            <w:tcW w:type="dxa" w:w="133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Customer PO</w:t>
            </w:r>
          </w:p>
        </w:tc>
        <w:tc>
          <w:tcPr>
            <w:tcW w:type="dxa" w:w="40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customer order; the invoice line carries the order reference</w:t>
            </w:r>
          </w:p>
        </w:tc>
        <w:tc>
          <w:tcPr>
            <w:tcW w:type="dxa" w:w="433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Which customer commitment this shipment settles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Never merge them into one "PO" column.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The invoice line reaches all three by following the chain — no PO field on dispatch is needed: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Invoice line ─► allocation rows ─► mother coil       ─► Vendor PO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Invoice line ─► allocation rows ─► production batch  ─► Contractor PO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Invoice line ─► order reference ─► customer order    ─► Customer PO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3. Weights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Invoice weight  = the billed quantity, taken as-is from the sales document. Never derived.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Pieces          = invoice weight ÷ weight-per-tube   (reverse it if the document's unit is pieces)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Dispatch weight = Σ allocation-row weights on that line where mother coil = X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for coil X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Coil-level summary: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2371"/>
        <w:gridCol w:w="7375"/>
      </w:tblGrid>
      <w:tr>
        <w:trPr>
          <w:tblHeader/>
        </w:trPr>
        <w:tc>
          <w:tcPr>
            <w:tcW w:type="dxa" w:w="237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7375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3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Coil weight</w:t>
            </w:r>
          </w:p>
        </w:tc>
        <w:tc>
          <w:tcPr>
            <w:tcW w:type="dxa" w:w="73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coil's plant-measured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actual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weight</w:t>
            </w:r>
          </w:p>
        </w:tc>
      </w:tr>
      <w:tr>
        <w:tc>
          <w:tcPr>
            <w:tcW w:type="dxa" w:w="237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Produced weight</w:t>
            </w:r>
          </w:p>
        </w:tc>
        <w:tc>
          <w:tcPr>
            <w:tcW w:type="dxa" w:w="7375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Σ allocation weights on production batches for this coil</w:t>
            </w:r>
          </w:p>
        </w:tc>
      </w:tr>
      <w:tr>
        <w:tc>
          <w:tcPr>
            <w:tcW w:type="dxa" w:w="23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Dispatched weight</w:t>
            </w:r>
          </w:p>
        </w:tc>
        <w:tc>
          <w:tcPr>
            <w:tcW w:type="dxa" w:w="73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Σ allocation weights on invoice lines for this coil</w:t>
            </w:r>
          </w:p>
        </w:tc>
      </w:tr>
      <w:tr>
        <w:tc>
          <w:tcPr>
            <w:tcW w:type="dxa" w:w="237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Balance to produce</w:t>
            </w:r>
          </w:p>
        </w:tc>
        <w:tc>
          <w:tcPr>
            <w:tcW w:type="dxa" w:w="7375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Coil weight − Produced weight</w:t>
            </w:r>
          </w:p>
        </w:tc>
      </w:tr>
      <w:tr>
        <w:tc>
          <w:tcPr>
            <w:tcW w:type="dxa" w:w="23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Produced inventory</w:t>
            </w:r>
          </w:p>
        </w:tc>
        <w:tc>
          <w:tcPr>
            <w:tcW w:type="dxa" w:w="73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Produced weight − Dispatched weight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coil has two weights; only one is used for calculation.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The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supplier invoice weight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(what we were billed) and the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plant actual weight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(weighbridge).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All calculations use the actual weight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the invoice weight is a procurement variance reference only, unrelated to the sales invoice.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Invoice weight and coil-attributed weight are different grains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and will only reconcile in total, never row-for-row.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4. Baby coil — capacity, usage, status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capacity = (this baby's width ÷ Σ widths of all babies from this mother) × mother's actual weight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used     = Σ allocation weights where baby coil = this one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free     = capacity − used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% used   = used ÷ capacity × 100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Cost splits the same way, so cost-per-MT is identical for a mother and every baby cut from it. That identity is what lets costing key on the mother.</w:t>
      </w:r>
    </w:p>
    <w:p>
      <w:pPr>
        <w:spacing w:after="140" w:before="60" w:line="276"/>
      </w:pPr>
      <w:r>
        <w:rPr>
          <w:rFonts w:ascii="Consolas" w:cs="Consolas" w:eastAsia="Consolas" w:hAnsi="Consolas"/>
          <w:b/>
          <w:bCs/>
          <w:i w:val="false"/>
          <w:iCs w:val="false"/>
          <w:color w:val="B03060"/>
          <w:sz w:val="19"/>
          <w:szCs w:val="19"/>
        </w:rPr>
        <w:t xml:space="preserve">used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 is derived, not stored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compute it from pieces at read time.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Status: Active or Consumed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selectable in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Consumed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manually flagged as finished or unusable; hidden from selection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flag is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manual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hiding the coil is its only effect. A coil at 97% or 100% used is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auto-hidden — a scrap end is a real object and only the operator knows if it is usable.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There is no Confirmed/Open on a baby coil.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Confirmed and Non-confirmed belong to the order book: Confirmed = released for dispatch but not invoiced; Non-confirmed = ordered but not released; the two together are Pending to Dispatch.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The freeze rule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 baby coil's weight freezes the moment production consumes it, and never re-splits again.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Before any baby of this mother is consumed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each baby = (its width ÷ Σ all baby widths) × mother's actual weight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re-splits freely as siblings are added, edited or deleted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After the first baby is consumed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frozen babies      keep their weight permanently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unfrozen remainder = mother's actual weight − Σ frozen weights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unfrozen babies    = (its width ÷ Σ unfrozen widths) × unfrozen remainder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frozen weight stays correct even if the mother's weight is later corrected — the correction moves only the unfrozen remainder.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If that remainder would go negative, refuse the edit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and show what is already committed; it is a data error, not a split to compute.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Why % used can exceed 100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819"/>
        <w:gridCol w:w="5927"/>
      </w:tblGrid>
      <w:tr>
        <w:trPr>
          <w:tblHeader/>
        </w:trPr>
        <w:tc>
          <w:tcPr>
            <w:tcW w:type="dxa" w:w="381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592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 for the new build</w:t>
            </w:r>
          </w:p>
        </w:tc>
      </w:tr>
      <w:tr>
        <w:tc>
          <w:tcPr>
            <w:tcW w:type="dxa" w:w="3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allocation with no capacity check at write time</w:t>
            </w:r>
          </w:p>
        </w:tc>
        <w:tc>
          <w:tcPr>
            <w:tcW w:type="dxa" w:w="592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Hard-block above 105%.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Pair it with a one-click "redistribute the excess" so the operator is not stuck</w:t>
            </w:r>
          </w:p>
        </w:tc>
      </w:tr>
      <w:tr>
        <w:tc>
          <w:tcPr>
            <w:tcW w:type="dxa" w:w="3819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Weight re-split after consumption</w:t>
            </w:r>
          </w:p>
        </w:tc>
        <w:tc>
          <w:tcPr>
            <w:tcW w:type="dxa" w:w="5927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Solved by the freeze rule above</w:t>
            </w:r>
          </w:p>
        </w:tc>
      </w:tr>
      <w:tr>
        <w:tc>
          <w:tcPr>
            <w:tcW w:type="dxa" w:w="3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Mother's weight edited after slitting without re-splitting</w:t>
            </w:r>
          </w:p>
        </w:tc>
        <w:tc>
          <w:tcPr>
            <w:tcW w:type="dxa" w:w="592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Re-split the unfrozen babies in the same transaction</w:t>
            </w:r>
          </w:p>
        </w:tc>
      </w:tr>
      <w:tr>
        <w:tc>
          <w:tcPr>
            <w:tcW w:type="dxa" w:w="3819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Weight-per-tube edited after production</w:t>
            </w:r>
          </w:p>
        </w:tc>
        <w:tc>
          <w:tcPr>
            <w:tcW w:type="dxa" w:w="5927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Self-consistent with derived weights; log it, and never allow a published SKU without a weight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100–105% is a deliberate over-fill tolerance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saveable with a warning. Above 105% is physically impossible and must be refused.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5. Coil inward vs dispatch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Entered by hand:  coil inward → slitting → production (SKU, pieces, coil selection)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Imported:         invoices, from the sales document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Derived:          the invoice→coil linkage. Nobody types it, ever.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Dispatch must not be hand-enterable.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It is the billing record and the ERP owns it; manual entry means two systems disagreeing about revenue.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Editing a coil record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covers only its own master data — inward date, coil number, grade, heat number, thickness, width, supplier invoice weight, actual weight, vendor PO. It is not a route to adjust dispatch. Guards: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Changing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actual weight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must re-split the unfrozen baby coils in the same transaction.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Changing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thickness or width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after slitting invalidates every downstream match — block it once babies exist.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Deleting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is blocked once the coil is slit or consumed.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6. Slitting width check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the strips being cut actually fit across the mother coil?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sum = Σ widths of all baby coils from this mother (saved + being entered now)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sum ≤ motherWidth − trim                →  OK          (trim allowance intact, trim ≈ 5 mm)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motherWidth − trim &lt; sum ≤ motherWidth  →  WARN        (trim eaten into — verify)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sum &gt; motherWidth                       →  BLOCK       (more strip than steel exists)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Also blocking: duplicate baby coil identifiers.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(Use a numeric sequence for baby IDs, not a letter suffix — a letter suffix silently caps a mother at 26 babies.)</w:t>
      </w:r>
    </w:p>
    <w:p>
      <w:pPr>
        <w:pBdr>
          <w:left w:val="single" w:color="B8C4D4" w:sz="12" w:space="10"/>
        </w:pBdr>
        <w:spacing w:after="200" w:before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This is </w:t>
      </w: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not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the production width match in Q7. Here: Σ baby widths vs </w:t>
      </w: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mother width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. There: one baby's width vs </w:t>
      </w: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the strip a pipe needs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. Name them differently.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7. Which baby coils fulfil a SKU (Production)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The system suggests. A human confirms.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It must never auto-commit a coil selection.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Strip width — the width a pipe consumes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Strip width = perimeter − 2t          t = wall thickness (mm)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SHS / RHS   →  2 × (Height + Breadth) − 2t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CHS / ERW   →  π × Outside Diameter  − 2t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Example: 50 × 50 × 4.0  →  200 − 8  =  192 mm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Match tolerance: ±1 mm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Eligibility — three filters, then an order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ELIGIBLE = a baby coil passing all three: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1. WIDTH      |baby width − strip width| ≤ 1 mm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2. THICKNESS  the plant's RM→FG rule table — NOT a tolerance band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3. AVAILABLE  not scrapped, not flagged Consumed, free capacity &gt; 0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ORDER    oldest slit date first (FIFO), then: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       fill each coil to 97% → move to the next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       then top up to 100%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       then, only if pieces remain, into the 100–105% over-fill band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       Whole pieces only. Any remainder is a shortfall warning, never a block.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±1 mm is tight by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 coil is either the right strip or it is not. The consequence is that slitting must be planned to hit the target widths; it cannot rely on a wide band to absorb error.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Thickness is a lookup table, not a band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Which coil gauge rolls which pipe gauge is a plant rule sheet. The relation is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asymmetric and many-to-many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2.3 coil rolls 2.5 pipe — but 2.5 never rolls 2.3.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3.0 coil rolls both 3.0 and 3.2.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2.2 coil rolls both 2.2 and 2.3.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±band fails in both directions: it admits pairings the mill never runs and cannot express the one-to-many rows at all.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If a finished gauge is absent from the sheet, the answer is "no eligible coil" — never a fallback to a band.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Suggest, don't commit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Wrong suggestions make operators override by hand, and unvalidated overrides are what put steel on coils that could not hold it. Fix the rule, hard-block the impossible case, keep the confirmation step.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The manual override list must be wider than the suggestion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show every coil with meaningful free capacity, spec-matched ones flagged and sorted first. The floor sometimes must run an off-spec coil, and a picker that hides them forces a workaround nobody can see.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8. Contractor PO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Definition: the PO we issue to a contract manufacturer to produce pipes for 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It attaches to the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production batch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the event it buys.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It is job work on our own coil.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We supply the steel, already in our system; the contractor only converts it. The traceability chain is therefore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fully intact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 contractor batch consumes our baby coils and carries the same allocation rows as an in-house one. The only difference is where the machine stood.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The production batch gains: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090"/>
        <w:gridCol w:w="6656"/>
      </w:tblGrid>
      <w:tr>
        <w:trPr>
          <w:tblHeader/>
        </w:trPr>
        <w:tc>
          <w:tcPr>
            <w:tcW w:type="dxa" w:w="309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65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30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Made by</w:t>
            </w:r>
          </w:p>
        </w:tc>
        <w:tc>
          <w:tcPr>
            <w:tcW w:type="dxa" w:w="66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 plant / Contractor</w:t>
            </w:r>
          </w:p>
        </w:tc>
      </w:tr>
      <w:tr>
        <w:tc>
          <w:tcPr>
            <w:tcW w:type="dxa" w:w="309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Contractor</w:t>
            </w:r>
          </w:p>
        </w:tc>
        <w:tc>
          <w:tcPr>
            <w:tcW w:type="dxa" w:w="6656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which contractor</w:t>
            </w:r>
          </w:p>
        </w:tc>
      </w:tr>
      <w:tr>
        <w:tc>
          <w:tcPr>
            <w:tcW w:type="dxa" w:w="30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Contractor PO</w:t>
            </w:r>
          </w:p>
        </w:tc>
        <w:tc>
          <w:tcPr>
            <w:tcW w:type="dxa" w:w="66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which PO it was made against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The Contractor PO document: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Header : contractor, PO date, agreed conversion rate, status, job-work flag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Lines  : SKU, ordered quantity, delivery date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What the linkage gives: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669"/>
        <w:gridCol w:w="6077"/>
      </w:tblGrid>
      <w:tr>
        <w:trPr>
          <w:tblHeader/>
        </w:trPr>
        <w:tc>
          <w:tcPr>
            <w:tcW w:type="dxa" w:w="3669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77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6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Produced against PO X?</w:t>
            </w:r>
          </w:p>
        </w:tc>
        <w:tc>
          <w:tcPr>
            <w:tcW w:type="dxa" w:w="60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Σ pieces on batches referencing X</w:t>
            </w:r>
          </w:p>
        </w:tc>
      </w:tr>
      <w:tr>
        <w:tc>
          <w:tcPr>
            <w:tcW w:type="dxa" w:w="3669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Still open on X?</w:t>
            </w:r>
          </w:p>
        </w:tc>
        <w:tc>
          <w:tcPr>
            <w:tcW w:type="dxa" w:w="6077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ordered − produced, per SKU line</w:t>
            </w:r>
          </w:p>
        </w:tc>
      </w:tr>
      <w:tr>
        <w:tc>
          <w:tcPr>
            <w:tcW w:type="dxa" w:w="36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Dispatched / invoiced against X?</w:t>
            </w:r>
          </w:p>
        </w:tc>
        <w:tc>
          <w:tcPr>
            <w:tcW w:type="dxa" w:w="60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inherited through the allocation chain</w:t>
            </w:r>
          </w:p>
        </w:tc>
      </w:tr>
      <w:tr>
        <w:tc>
          <w:tcPr>
            <w:tcW w:type="dxa" w:w="3669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 of contractor-made stock?</w:t>
            </w:r>
          </w:p>
        </w:tc>
        <w:tc>
          <w:tcPr>
            <w:tcW w:type="dxa" w:w="6077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coil cost (via mother)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the PO's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conversion rate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Costing note: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the SKU master's conversion fields are our own plant's rates. For a contractor batch the rate comes from the Contractor PO. Build it as: own plant → SKU ladder; contractor → PO rate.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Two things to build because the steel physically leaves the plant: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Material issue / return movement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against the PO — coil sent out, pipe received back. Without it nobody can see what steel is sitting at a contractor's premises.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Yield per Contractor 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steel issued vs finished weight received. On job work this is the number that matters commercially, and the chain already holds both halves.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9. SKU master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Source: the SKU master maintained by Shubham Narwane. None of these fields are in Zoho 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the ERP carries only the item code and description that appear on transactions. Everything below is master data to be set up and maintained in the new system.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Weight of one tube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once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to build the master value. The running system then reads the master and never recalculates.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Steel density = 7.85 g/cm³.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Dimensions in mm, result in kg.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SHS / RHS      Area (mm²) = 2 × t × (H + B) − 4 × t²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CHS / ERW      Area (mm²) = π × (OD − t) × t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Weight (kg)  =  Area × Length × 7.85 ÷ 1,000,000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H = height   B = breadth   t = wall thickness   OD = outside diameter   L = length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  SHS is simply the case where H = B.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701"/>
        <w:gridCol w:w="4071"/>
        <w:gridCol w:w="1974"/>
      </w:tblGrid>
      <w:tr>
        <w:trPr>
          <w:tblHeader/>
        </w:trPr>
        <w:tc>
          <w:tcPr>
            <w:tcW w:type="dxa" w:w="370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07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Working</w:t>
            </w:r>
          </w:p>
        </w:tc>
        <w:tc>
          <w:tcPr>
            <w:tcW w:type="dxa" w:w="197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Weight/tube</w:t>
            </w:r>
          </w:p>
        </w:tc>
      </w:tr>
      <w:tr>
        <w:tc>
          <w:tcPr>
            <w:tcW w:type="dxa" w:w="37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SHS 25×25×2.50×6000</w:t>
            </w:r>
          </w:p>
        </w:tc>
        <w:tc>
          <w:tcPr>
            <w:tcW w:type="dxa" w:w="40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03060"/>
                <w:sz w:val="17"/>
                <w:szCs w:val="17"/>
              </w:rPr>
              <w:t xml:space="preserve">2(2.5)(50) − 4(2.5²) = 225</w:t>
            </w:r>
          </w:p>
        </w:tc>
        <w:tc>
          <w:tcPr>
            <w:tcW w:type="dxa" w:w="19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10.5975 kg</w:t>
            </w:r>
          </w:p>
        </w:tc>
      </w:tr>
      <w:tr>
        <w:tc>
          <w:tcPr>
            <w:tcW w:type="dxa" w:w="370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RHS 200×100×2.20×6000</w:t>
            </w:r>
          </w:p>
        </w:tc>
        <w:tc>
          <w:tcPr>
            <w:tcW w:type="dxa" w:w="407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03060"/>
                <w:sz w:val="17"/>
                <w:szCs w:val="17"/>
              </w:rPr>
              <w:t xml:space="preserve">2(2.2)(300) − 4(4.84) = 1300.64</w:t>
            </w:r>
          </w:p>
        </w:tc>
        <w:tc>
          <w:tcPr>
            <w:tcW w:type="dxa" w:w="197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61.260144 kg</w:t>
            </w:r>
          </w:p>
        </w:tc>
      </w:tr>
      <w:tr>
        <w:tc>
          <w:tcPr>
            <w:tcW w:type="dxa" w:w="37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CHS 32 NB (OD 42.4) ×2.20×6000</w:t>
            </w:r>
          </w:p>
        </w:tc>
        <w:tc>
          <w:tcPr>
            <w:tcW w:type="dxa" w:w="40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03060"/>
                <w:sz w:val="17"/>
                <w:szCs w:val="17"/>
              </w:rPr>
              <w:t xml:space="preserve">π(42.4 − 2.2)(2.2) = 277.8425</w:t>
            </w:r>
          </w:p>
        </w:tc>
        <w:tc>
          <w:tcPr>
            <w:tcW w:type="dxa" w:w="19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13.086380 kg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Two conventions to hold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Sharp corners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no radius deduction. Real sections are marginally lighter; stay consistent.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Nominal Bore is a label, not a dimension.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"32 NB" means OD 42.4 mm; only OD is calculated with.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Required fields</w:t>
      </w:r>
    </w:p>
    <w:tbl>
      <w:tblPr>
        <w:tblW w:type="dxa" w:w="9746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761"/>
        <w:gridCol w:w="2084"/>
        <w:gridCol w:w="1961"/>
        <w:gridCol w:w="4940"/>
      </w:tblGrid>
      <w:tr>
        <w:trPr>
          <w:tblHeader/>
        </w:trPr>
        <w:tc>
          <w:tcPr>
            <w:tcW w:type="dxa" w:w="76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84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961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49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SKU code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Derived;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immutable once used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join key to the ERP. Renaming it orphans all history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Derived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Fallback match when a document omits the code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Product type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SHS/RHS/CHS/ERW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Selects both the weight formula and the strip-width formula, so it decides coil eligibility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4–5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Height, Breadth (mm)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SHS/RHS geometry → weight and strip width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Nominal bore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CHS label only — never calculated with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Outside diameter (mm)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CHS geometry → weight and strip width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Thickness (mm)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Weight, strip width, and the coil-gauge match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Length (mm)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Weight and reporting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HSN code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Statutory reporting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Status — published / draft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Only published SKUs are selectable in production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Weight per tube (kg)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Manual, mandatory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single source of every weight.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Refuse to publish a SKU without 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otherwise its batches and invoices record zero tonnes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conversion (₹/MT)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In-house conversion base rate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Thickness extra (₹/MT)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In-house gauge premium</w:t>
            </w:r>
          </w:p>
        </w:tc>
      </w:tr>
      <w:tr>
        <w:tc>
          <w:tcPr>
            <w:tcW w:type="dxa" w:w="7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084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Ladder price (₹/MT)</w:t>
            </w:r>
          </w:p>
        </w:tc>
        <w:tc>
          <w:tcPr>
            <w:tcW w:type="dxa" w:w="1961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Derived</w:t>
            </w:r>
          </w:p>
        </w:tc>
        <w:tc>
          <w:tcPr>
            <w:tcW w:type="dxa" w:w="494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base conversion + thickness extra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0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conversion (₹)</w:t>
            </w:r>
          </w:p>
        </w:tc>
        <w:tc>
          <w:tcPr>
            <w:tcW w:type="dxa" w:w="19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Derived</w:t>
            </w:r>
          </w:p>
        </w:tc>
        <w:tc>
          <w:tcPr>
            <w:tcW w:type="dxa" w:w="4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weight per tube × ladder price ÷ 1000</w:t>
            </w:r>
          </w:p>
        </w:tc>
      </w:tr>
    </w:tbl>
    <w:p>
      <w:pPr>
        <w:spacing w:after="160"/>
      </w:pP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"Conversion Form" is not required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do not build it. Fields 13–16 are the whole conversion model.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Two data-integrity rules: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enforce SKU code uniqueness in the database, not just the UI; and match on a normalised identity before allowing a new SKU,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03060"/>
          <w:sz w:val="19"/>
          <w:szCs w:val="19"/>
        </w:rPr>
        <w:t xml:space="preserve">1.6×6000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03060"/>
          <w:sz w:val="19"/>
          <w:szCs w:val="19"/>
        </w:rPr>
        <w:t xml:space="preserve">1.60×6000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cannot both exist and fragment inventory across two codes.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10. Sales Dashboard — parked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Spec to follow once production and dispatch are complete. One structural rule to hold to meanwhile: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Physical    coil inward → slitting → production   →  stock, coil tracking, RM and FG reports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Commercial  imported sales documents               →  order book, invoices, all sales figures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Production data must never feed sales figures.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Producing 500 tonnes changes stock; it does not change sales until those tonnes are invoiced. Merging the lanes counts tonnage as revenue before it is billed, and unwinding that later is expensive.</w:t>
      </w:r>
    </w:p>
    <w:p>
      <w:pPr>
        <w:pBdr>
          <w:bottom w:val="single" w:color="D0D5DD" w:sz="6" w:space="1"/>
        </w:pBdr>
        <w:spacing w:after="200" w:before="160"/>
      </w:pPr>
    </w:p>
    <w:p>
      <w:pPr>
        <w:pStyle w:val="Heading1"/>
        <w:keepNext/>
        <w:pBdr>
          <w:bottom w:val="single" w:color="D0D5DD" w:sz="6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11. Production entry timing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Created after production completes.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It is a completion record, not a work order: date, SKU, pieces made, coils consumed, plus made-by and Contractor PO where applicable.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It cannot be created up front because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the production entry is the consumption event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:</w:t>
      </w:r>
    </w:p>
    <w:p>
      <w:pPr>
        <w:keepNext/>
        <w:keepLines/>
        <w:pBdr>
          <w:top w:val="single" w:color="F2F4F7" w:sz="2" w:space="4"/>
          <w:left w:val="single" w:color="2E5C8A" w:sz="12" w:space="8"/>
        </w:pBdr>
        <w:shd w:fill="F2F4F7" w:color="auto" w:val="clear"/>
        <w:spacing w:after="0" w:before="10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1. debits capacity from the baby coils it names   → drives every free/used figure and the 105% block</w:t>
      </w:r>
    </w:p>
    <w:p>
      <w:pPr>
        <w:keepNext/>
        <w:keepLines/>
        <w:pBdr>
          <w:left w:val="single" w:color="2E5C8A" w:sz="12" w:space="8"/>
        </w:pBdr>
        <w:shd w:fill="F2F4F7" w:color="auto" w:val="clear"/>
        <w:spacing w:after="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2. adds tonnage to finished-goods stock            → makes it sellable</w:t>
      </w:r>
    </w:p>
    <w:p>
      <w:pPr>
        <w:keepNext w:val="false"/>
        <w:keepLines/>
        <w:pBdr>
          <w:bottom w:val="single" w:color="F2F4F7" w:sz="2" w:space="4"/>
          <w:left w:val="single" w:color="2E5C8A" w:sz="12" w:space="8"/>
        </w:pBdr>
        <w:shd w:fill="F2F4F7" w:color="auto" w:val="clear"/>
        <w:spacing w:after="140" w:before="0" w:line="240"/>
        <w:ind w:left="170"/>
      </w:pPr>
      <w:r>
        <w:rPr>
          <w:rFonts w:ascii="Consolas" w:cs="Consolas" w:eastAsia="Consolas" w:hAnsi="Consolas"/>
          <w:sz w:val="17"/>
          <w:szCs w:val="17"/>
        </w:rPr>
        <w:t xml:space="preserve">3. makes those pieces available to invoice lines   → the FIFO queue in Q1</w:t>
      </w:r>
    </w:p>
    <w:p>
      <w:pPr>
        <w:spacing w:after="14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 entry made before the run consumes steel still on the floor and creates stock that does not exist.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Status on a production record describes allocation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all pieces assigned to a coil, partially, or not at all. Not manufacturing progress. Don't overload one field with both.</w:t>
      </w:r>
    </w:p>
    <w:p>
      <w:pPr>
        <w:spacing w:after="140" w:before="6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If planned production is ever needed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model it as a separate entity — a plan with a target quantity and expected date — and keep the consumption event distinct, created only on completion. A Contractor PO line is already exactly this shape; follow it rather than inventing a second pattern.</w:t>
      </w:r>
    </w:p>
    <w:sectPr>
      <w:headerReference w:type="default" r:id="rId7"/>
      <w:footerReference w:type="default" r:id="rId8"/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spacing w:after="100"/>
      <w:jc w:val="right"/>
    </w:pPr>
    <w:r>
      <w:rPr>
        <w:color w:val="595959"/>
        <w:sz w:val="16"/>
        <w:szCs w:val="16"/>
      </w:rPr>
      <w:t xml:space="preserve">JSW Pipes &amp; Tubes — system logic for the new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Pipes &amp; Tubes — system logic</dc:title>
  <dc:creator>JSW Pipes &amp; Tubes</dc:creator>
  <dc:description>Answers to the tech team’s questions, as implementation-agnostic logic</dc:description>
  <cp:lastModifiedBy>Un-named</cp:lastModifiedBy>
  <cp:revision>1</cp:revision>
  <dcterms:created xsi:type="dcterms:W3CDTF">2026-08-17T07:09:33.004Z</dcterms:created>
  <dcterms:modified xsi:type="dcterms:W3CDTF">2026-08-17T07:09:33.004Z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