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40"/>
          <w:szCs w:val="40"/>
        </w:rPr>
        <w:t xml:space="preserve">Pipes &amp; Tubes — business logic and entity connections</w:t>
      </w:r>
    </w:p>
    <w:p>
      <w:pPr>
        <w:pBdr>
          <w:left w:val="single" w:color="B8C4D4" w:sz="12" w:space="10"/>
        </w:pBdr>
        <w:spacing w:after="60" w:before="120"/>
        <w:ind w:left="200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For a </w:t>
      </w: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new build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. This describes 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what the system must do and how the entities connect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 — not how the current app does it. No screens, no tables, no code. Every rule below is stated so it can be implemented on any stack.</w:t>
      </w:r>
    </w:p>
    <w:p>
      <w:pPr>
        <w:pBdr>
          <w:left w:val="single" w:color="B8C4D4" w:sz="12" w:space="10"/>
        </w:pBdr>
        <w:spacing w:after="60" w:before="60"/>
        <w:ind w:left="200"/>
      </w:pP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Status: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 all eleven are answered. </w:t>
      </w: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Q10 (Sales Dashboard) is parked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 at the business's instruction; details to follow once the production and dispatch modules are complete.</w:t>
      </w:r>
    </w:p>
    <w:p>
      <w:pPr>
        <w:pBdr>
          <w:left w:val="single" w:color="B8C4D4" w:sz="12" w:space="10"/>
        </w:pBdr>
        <w:spacing w:after="200" w:before="60"/>
        <w:ind w:left="200"/>
      </w:pP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One question remains for the plant, not for the tech team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 — the exact strip width a pipe consumes (Q7). It is written out in plain language there, ready to ask as-is.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0. The spine — read this before the individual answers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Six of the eleven questions are the same question asked from different ends: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how does a finished invoice line get back to the steel it was made from?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answer is one chain, and everything else hangs off it.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Mother Coil ──slit──► Baby Coil ──consumed by──► Production Batch ──drawn by──► Invoice Line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(bought)             (strip)                    (pipes made)                  (sold)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Linkage carrier:  ALLOCATION ROW = { baby coil, mother coil, pieces, weight }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created at Production, inherited unchanged by the Invoice Line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Seven principles the whole model rests 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Weight always comes from the SKU master's weight-per-tube.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running system never recalculates it from dimensions or density. The formula in Q9 builds the master value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once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; after that the master is the only source. (Why: real mill weights drift from theory, and a system that recomputes silently rewrites historic tonnage.)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Pieces are load-bearing; weight is derived.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Store pieces, compute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060"/>
          <w:sz w:val="19"/>
          <w:szCs w:val="19"/>
        </w:rPr>
        <w:t xml:space="preserve">weight = pieces × weight-per-tube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. If you store both, they drift the moment a master value is corrected.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Every allocation row carries both the baby coil and its mother.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baby drives capacity; the mother drives costing and all coil-level reporting. Storing only one of them breaks half the reports.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Production consumes baby coils, never mother coils.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Once a mother is slit, its steel lives in its babies. Counting both double-counts.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Allocation is many-to-many in both directions.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One invoice line can come from several mother coils; one mother coil feeds many invoice lines. Never model "the coil" as a single field on a line — it will silently be wrong the first time a batch spans two coils.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Impossible states block; unusual states warn.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 warning that can be clicked past will be clicked past, every shift, for months. (We learned this the expensive way — see Q4.)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Suggest ≠ commit.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system proposes the coil selection; a human confirms it. See Q7.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1. How Dispatch/Invoice records link back to the Mother Coil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Through the allocation rows, which the invoice line inherits from production. Not through a coil field on the invoice.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rule: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when an invoice line is created, it does not choose coils. It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inherits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them by draining the production ledger for that SKU, oldest batch first.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drain algorithm: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1. Build a FIFO queue of every allocation row for this SKU,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ordered by production date (oldest first):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[ {baby, mother, pieces, weight}, {…}, … ]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2. Discard from the head the pieces already taken by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previously-invoiced lines of the same SKU.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3. Take the next N pieces off the head for this line,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splitting a row when the line needs only part of it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(weight-per-piece within a row = row weight ÷ row pieces).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4. Store the resulting rows on the invoice line — unchanged.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So an invoice line for 500 pieces may end up carrying three allocation rows across two mother coils. That is correct and expected.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Reporting rule: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to answer "how much of mother coil X was dispatched", sum the allocation-row weights where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060"/>
          <w:sz w:val="19"/>
          <w:szCs w:val="19"/>
        </w:rPr>
        <w:t xml:space="preserve">mother = 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across all invoice lines. Do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sum the invoice line's total weight — that over-attributes the whole line to one coil.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Design warning from our current system: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we also kept a single scalar "trace coil" field on each line for backward compatibility. One report still joins on it, and it silently reports multi-coil lines wrong — the whole line lands on the first coil and the others show zero.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Do not build that field.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array is the only truth.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2. Which PO is the reference? — </w:t>
      </w: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three POs, one per stage of the chain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Now that the Contractor PO is defined (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the PO we issue to a contract manufacturer to produce pipes for us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), the three POs line up cleanly — each attaches to a different stage, and each answers a different question.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Vendor PO          Contractor PO           Customer PO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(we buy steel)   (we buy manufacturing)   (they buy pipe)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│                    │                     │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▼                    ▼                     ▼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Mother Coil ─► Baby Coil ─► Production Batch ─► Invoice Line</w:t>
      </w:r>
    </w:p>
    <w:tbl>
      <w:tblPr>
        <w:tblW w:type="dxa" w:w="9746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825"/>
        <w:gridCol w:w="2004"/>
        <w:gridCol w:w="3380"/>
        <w:gridCol w:w="3537"/>
      </w:tblGrid>
      <w:tr>
        <w:trPr>
          <w:tblHeader/>
        </w:trPr>
        <w:tc>
          <w:tcPr>
            <w:tcW w:type="dxa" w:w="825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PO</w:t>
            </w:r>
          </w:p>
        </w:tc>
        <w:tc>
          <w:tcPr>
            <w:tcW w:type="dxa" w:w="2004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it buys</w:t>
            </w:r>
          </w:p>
        </w:tc>
        <w:tc>
          <w:tcPr>
            <w:tcW w:type="dxa" w:w="338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Attaches to</w:t>
            </w:r>
          </w:p>
        </w:tc>
        <w:tc>
          <w:tcPr>
            <w:tcW w:type="dxa" w:w="3537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Answers</w:t>
            </w:r>
          </w:p>
        </w:tc>
      </w:tr>
      <w:tr>
        <w:tc>
          <w:tcPr>
            <w:tcW w:type="dxa" w:w="8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Vendor / Steel PO</w:t>
            </w:r>
          </w:p>
        </w:tc>
        <w:tc>
          <w:tcPr>
            <w:tcW w:type="dxa" w:w="20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HR coil from the steel supplier</w:t>
            </w:r>
          </w:p>
        </w:tc>
        <w:tc>
          <w:tcPr>
            <w:tcW w:type="dxa" w:w="33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mother coil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; inherited by every baby coil slit from it</w:t>
            </w:r>
          </w:p>
        </w:tc>
        <w:tc>
          <w:tcPr>
            <w:tcW w:type="dxa" w:w="35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"What did this steel cost, and against which purchase did it arrive?"</w:t>
            </w:r>
          </w:p>
        </w:tc>
      </w:tr>
      <w:tr>
        <w:tc>
          <w:tcPr>
            <w:tcW w:type="dxa" w:w="825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Contractor PO</w:t>
            </w:r>
          </w:p>
        </w:tc>
        <w:tc>
          <w:tcPr>
            <w:tcW w:type="dxa" w:w="2004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Manufacturing capacity from a contract manufacturer</w:t>
            </w:r>
          </w:p>
        </w:tc>
        <w:tc>
          <w:tcPr>
            <w:tcW w:type="dxa" w:w="338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production batch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(see Q8)</w:t>
            </w:r>
          </w:p>
        </w:tc>
        <w:tc>
          <w:tcPr>
            <w:tcW w:type="dxa" w:w="3537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"Which pipes were made by a contractor, under which PO, and how much of that PO is still open?"</w:t>
            </w:r>
          </w:p>
        </w:tc>
      </w:tr>
      <w:tr>
        <w:tc>
          <w:tcPr>
            <w:tcW w:type="dxa" w:w="8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Customer PO</w:t>
            </w:r>
          </w:p>
        </w:tc>
        <w:tc>
          <w:tcPr>
            <w:tcW w:type="dxa" w:w="20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Nothing — it's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their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PO on us</w:t>
            </w:r>
          </w:p>
        </w:tc>
        <w:tc>
          <w:tcPr>
            <w:tcW w:type="dxa" w:w="33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customer order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; the invoice line carries the order reference that points to it</w:t>
            </w:r>
          </w:p>
        </w:tc>
        <w:tc>
          <w:tcPr>
            <w:tcW w:type="dxa" w:w="35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"Which customer commitment does this shipment settle?"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rule: never merge these into one "PO" column.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They sit at three different stages and answer three different questions. A steel report keys on the Vendor PO; a manufacturing report keys on the Contractor PO; a sales report keys on the customer order reference.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How the invoice line reaches each one — all three by following the chain, none by a direct field: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Invoice line ─► allocation rows ─► mother coil      ─► Vendor PO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Invoice line ─► allocation rows ─► production batch ─► Contractor PO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Invoice line ─► order reference ─► customer order   ─► Customer PO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is why principle 3 matters. Get the allocation row right and all three PO linkages come free.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3. Dispatch weight and invoice weight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Invoice weight is a fact, taken as-is from the sales document. Dispatch weight per coil is a derived share of it.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Invoice weight   = the billed quantity, straight from the sales document. NEVER derived.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Pieces           = invoice weight ÷ weight-per-tube      (when the document has no piece count)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…or reversed, if the document's unit column says pieces rather than MT — read the unit,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don't assume.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Dispatch weight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attributed to  = Σ allocation-row weights on that line where mother coil = X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coil X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coil-level summary row — five figures, all derived from the same chain:</w:t>
      </w:r>
    </w:p>
    <w:tbl>
      <w:tblPr>
        <w:tblW w:type="dxa" w:w="9746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2371"/>
        <w:gridCol w:w="7375"/>
      </w:tblGrid>
      <w:tr>
        <w:trPr>
          <w:tblHeader/>
        </w:trPr>
        <w:tc>
          <w:tcPr>
            <w:tcW w:type="dxa" w:w="2371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Figure</w:t>
            </w:r>
          </w:p>
        </w:tc>
        <w:tc>
          <w:tcPr>
            <w:tcW w:type="dxa" w:w="7375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Definition</w:t>
            </w:r>
          </w:p>
        </w:tc>
      </w:tr>
      <w:tr>
        <w:tc>
          <w:tcPr>
            <w:tcW w:type="dxa" w:w="23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Coil weight</w:t>
            </w:r>
          </w:p>
        </w:tc>
        <w:tc>
          <w:tcPr>
            <w:tcW w:type="dxa" w:w="73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coil's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plant-measured actual weight</w:t>
            </w:r>
          </w:p>
        </w:tc>
      </w:tr>
      <w:tr>
        <w:tc>
          <w:tcPr>
            <w:tcW w:type="dxa" w:w="237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Produced weight</w:t>
            </w:r>
          </w:p>
        </w:tc>
        <w:tc>
          <w:tcPr>
            <w:tcW w:type="dxa" w:w="7375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Σ allocation weights on production batches for this coil</w:t>
            </w:r>
          </w:p>
        </w:tc>
      </w:tr>
      <w:tr>
        <w:tc>
          <w:tcPr>
            <w:tcW w:type="dxa" w:w="23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Dispatched weight</w:t>
            </w:r>
          </w:p>
        </w:tc>
        <w:tc>
          <w:tcPr>
            <w:tcW w:type="dxa" w:w="73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Σ allocation weights on invoice lines for this coil</w:t>
            </w:r>
          </w:p>
        </w:tc>
      </w:tr>
      <w:tr>
        <w:tc>
          <w:tcPr>
            <w:tcW w:type="dxa" w:w="237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Balance to produce</w:t>
            </w:r>
          </w:p>
        </w:tc>
        <w:tc>
          <w:tcPr>
            <w:tcW w:type="dxa" w:w="7375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Coil weight − Produced weight</w:t>
            </w:r>
          </w:p>
        </w:tc>
      </w:tr>
      <w:tr>
        <w:tc>
          <w:tcPr>
            <w:tcW w:type="dxa" w:w="23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Produced inventory</w:t>
            </w:r>
          </w:p>
        </w:tc>
        <w:tc>
          <w:tcPr>
            <w:tcW w:type="dxa" w:w="73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Produced weight − Dispatched weight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Two traps to design around: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 coil has two weights and only one of them is real for calculation.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supplier invoice weight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(what we were billed) and the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plant actual weight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(weighbridge).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Every calculation uses the actual weight.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Keep the invoice weight purely as a variance reference — it is a procurement figure, and it has nothing to do with the sales invoice despite the shared word.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Invoice weight and coil-attributed weight are different grains.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One invoice line splits across coils; one coil spans many lines. They will never reconcile row-for-row, only in total. Don't design a report that implies they should.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4. Baby Coil report — used weight, status, and &gt;100%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(a) How the numbers are built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capacity  = (this baby's width ÷ Σ widths of all babies from the same mother)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× mother's actual weight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used      = Σ allocation weights where baby coil = this one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free      = capacity − used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% used    = used ÷ capacity × 100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same proportional split applies to cost, which is what makes cost-per-MT identical for a mother and every baby cut from it — that identity is what lets costing key on the mother.</w:t>
      </w:r>
    </w:p>
    <w:p>
      <w:pPr>
        <w:spacing w:after="140" w:before="60" w:line="276"/>
      </w:pPr>
      <w:r>
        <w:rPr>
          <w:rFonts w:ascii="Consolas" w:cs="Consolas" w:eastAsia="Consolas" w:hAnsi="Consolas"/>
          <w:b/>
          <w:bCs/>
          <w:i w:val="false"/>
          <w:iCs w:val="false"/>
          <w:color w:val="B03060"/>
          <w:sz w:val="19"/>
          <w:szCs w:val="19"/>
        </w:rPr>
        <w:t xml:space="preserve">used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 must be derived, not stored.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Compute it as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060"/>
          <w:sz w:val="19"/>
          <w:szCs w:val="19"/>
        </w:rPr>
        <w:t xml:space="preserve">pieces × weight-per-tube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at read time. If you store the weight, correcting a SKU's weight-per-tube later leaves every historic allocation frozen at the old figure, and the coil's used weight stops matching its production.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(b) Confirmed vs Open — the wrong vocabulary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 baby coil has no Confirmed/Open state.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Its status is: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Active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available for selection in production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Consumed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manually flagged by the operator as finished/unusable; excluded from selection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That flag is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manual and has exactly one effect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: hiding the coil from production selection. Nothing sets it automatically. Notably, a coil at 97% or even 100% used is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auto-hidden — a scrap end is still a real physical object, and only the operator knows if it's usable.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Confirmed / Non-confirmed belongs to the order book, not to coils: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Confirmed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ordered tonnage released for dispatch but not yet invoiced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Non-confirmed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ordered but not yet released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Pending to dispatch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= Confirmed + Non-confirmed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If the new spec wants Confirmed/Open on a baby coil, that mapping has to be defined from scratch — it isn't a rename of anything that exists.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(c) Why used quantity exceeds 100% — four causes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is the single most expensive lesson in the current system.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445 baby coils ended up holding 123.3 tonnes more steel than physically existed.</w:t>
      </w:r>
    </w:p>
    <w:tbl>
      <w:tblPr>
        <w:tblW w:type="dxa" w:w="9746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1015"/>
        <w:gridCol w:w="3885"/>
        <w:gridCol w:w="4846"/>
      </w:tblGrid>
      <w:tr>
        <w:trPr>
          <w:tblHeader/>
        </w:trPr>
        <w:tc>
          <w:tcPr>
            <w:tcW w:type="dxa" w:w="1015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885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4846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Fix in the new build</w:t>
            </w:r>
          </w:p>
        </w:tc>
      </w:tr>
      <w:tr>
        <w:tc>
          <w:tcPr>
            <w:tcW w:type="dxa" w:w="10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88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 capacity validation on manual allocation.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The form warned "&gt;105% of capacity — allowed, but review" and saved anyway. Every shift, for months.</w:t>
            </w:r>
          </w:p>
        </w:tc>
        <w:tc>
          <w:tcPr>
            <w:tcW w:type="dxa" w:w="48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Hard-block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any allocation past 105% of remaining capacity. Pair the block with a one-click "redistribute the excess" action so the operator isn't stuck at a dead end.</w:t>
            </w:r>
          </w:p>
        </w:tc>
      </w:tr>
      <w:tr>
        <w:tc>
          <w:tcPr>
            <w:tcW w:type="dxa" w:w="1015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885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Re-split after consumption.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Adding/editing/deleting a sibling re-splits weight by width across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all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babies of that mother. A baby already consumed can shrink underneath its own usage.</w:t>
            </w:r>
          </w:p>
        </w:tc>
        <w:tc>
          <w:tcPr>
            <w:tcW w:type="dxa" w:w="484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DECIDED — a baby coil's weight freezes the moment production consumes it, and never re-splits again.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See the rule below.</w:t>
            </w:r>
          </w:p>
        </w:tc>
      </w:tr>
      <w:tr>
        <w:tc>
          <w:tcPr>
            <w:tcW w:type="dxa" w:w="10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88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Mother's actual weight edited after slitting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, without re-splitting the babies — every denominator goes stale.</w:t>
            </w:r>
          </w:p>
        </w:tc>
        <w:tc>
          <w:tcPr>
            <w:tcW w:type="dxa" w:w="48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Any change to a mother's actual weight must re-split its babies in the same transaction.</w:t>
            </w:r>
          </w:p>
        </w:tc>
      </w:tr>
      <w:tr>
        <w:tc>
          <w:tcPr>
            <w:tcW w:type="dxa" w:w="1015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885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SKU weight-per-tube edited after production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historic usage silently changes.</w:t>
            </w:r>
          </w:p>
        </w:tc>
        <w:tc>
          <w:tcPr>
            <w:tcW w:type="dxa" w:w="484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Accept it (with derived weights this is self-consistent) but log it, and never let a published SKU exist without a weight.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(d) The freeze rule — </w:t>
      </w: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decided by the business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 baby coil's weight is frozen the moment production consumes it. It never re-splits again.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closes cause 2 above, and it changes how the proportional split works from that point on: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Before any production consumes a baby coil of this mother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every baby's weight = (its width ÷ Σ all baby widths) × mother's actual weight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→ re-splits freely whenever a sibling is added, edited or deleted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After the first baby of this mother has been consumed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frozen babies      keep their weight, permanently, whatever else changes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unfrozen remainder = mother's actual weight − Σ frozen baby weights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unfrozen babies    = (its width ÷ Σ unfrozen baby widths) × unfrozen remainder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Two consequences to build in deliberately: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 frozen baby's weight is now historical fact.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It stays right even if the mother's actual weight is later corrected — that correction can only move the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unfrozen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remainder.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If the unfrozen remainder goes negative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(someone corrects a mother's weight downward below what is already frozen), that is a data error, not a split to compute. Refuse it and show what is already committed.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"Is there a field that allows it?"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Not a field — it was the manual coil-assignment grid with no write-time capacity check.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100–105% band is deliberate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(real over-fill tolerance) and should stay saveable with a warning. Above 105% is physically impossible and must be refused.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5. Coil Inward vs Dispatch — and what Edit is for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Dispatch is never recorded against a coil. The connection is derived, never entered.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What a user enters:   coil inward → slitting → production (SKU + pieces + coil selection)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What is imported:     invoices, from the sales document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What is derived:      the invoice→coil linkage (Q1). Nobody types it, ever.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Dispatch/invoice data must not be hand-enterable at all.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It is the billing record — the ERP owns it. Manual entry means two systems disagreeing about revenue.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 what is Edit on the coil record for?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Correcting the coil's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own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master data after a keying error: inward date, coil number, grade, heat number, thickness, width, supplier invoice weight, plant actual weight, vendor PO. That is the entire scope.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It is not a route to adjust dispatch, and nothing on it should imply it is.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Guards the edit path needs: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Changing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actual weight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must re-split the baby coils (cause 3 above).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Changing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thickness or width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after slitting invalidates every downstream eligibility decision — warn loudly, or block once babies exist.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Deleting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must be blocked once the coil is slit or consumed.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6. The Baby Coil width check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It answers one question: do the strips we're cutting actually fit across the mother coil?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sum = Σ widths of ALL baby coils from this mother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(already saved + the ones being entered right now)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sum ≤ motherWidth − trim   →  OK        (trim allowance intact; trim ≈ 5 mm)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motherWidth − trim &lt; sum ≤ motherWidth  →  WARN  (trim eaten into — verify)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sum &gt; motherWidth          →  IMPOSSIBLE (more strip than steel)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Recommendation for the new build: make the third tier a hard block.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Our current system only warns there, which is the same mistake as Q4 cause 1 — it describes a physically impossible object and saves it anyway.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Other slitting rules that must block: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duplicate baby coil identifiers, and any cap you place on babies per mother.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(If you generate baby IDs as a letter suffix, you cap silently at 26 — use a numeric sequence instead and avoid the artificial limit.)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⚠️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Name this check distinctly from the production one.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There are two different ±5 mm rules and they get confused constantly: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Slitting width check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(this one): Σ baby widths vs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mother coil's width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Production width match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(Q7):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baby coil's width vs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tube's required strip width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7. Which Baby Coils fulfil a given SKU (Production)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system must auto-</w:t>
      </w:r>
      <w:r>
        <w:rPr>
          <w:rFonts w:ascii="Calibri" w:cs="Calibri" w:eastAsia="Calibri" w:hAnsi="Calibri"/>
          <w:b/>
          <w:bCs/>
          <w:i/>
          <w:iCs/>
          <w:color w:val="000000"/>
          <w:sz w:val="21"/>
          <w:szCs w:val="21"/>
        </w:rPr>
        <w:t xml:space="preserve">suggest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. It must not auto-</w:t>
      </w:r>
      <w:r>
        <w:rPr>
          <w:rFonts w:ascii="Calibri" w:cs="Calibri" w:eastAsia="Calibri" w:hAnsi="Calibri"/>
          <w:b/>
          <w:bCs/>
          <w:i/>
          <w:iCs/>
          <w:color w:val="000000"/>
          <w:sz w:val="21"/>
          <w:szCs w:val="21"/>
        </w:rPr>
        <w:t xml:space="preserve">commit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. That is a deliberate rule, not a missing feature.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The matching logic — three filters, then an order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ELIGIBLE = a baby coil that passes all three: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1. WIDTH     |baby width − required strip width| ≤ 5 mm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required strip width comes from the SKU's geometry: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  SHS / RHS  →  2 × (Height + Breadth)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  CHS        →  π × Outside Diameter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If it can't be computed, skip this filter rather than guessing.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2. THICKNESS the plant's RM→FG rule table — NOT a tolerance band.  ← critical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3. AVAILABLE not scrapped, not flagged Consumed, free capacity &gt; 0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ORDER    oldest slit date first (FIFO), then: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fill each coil to 97% → move to the next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then top up to 100%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then, only if pieces remain, into the 100–105% over-fill band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Whole pieces only. Any remainder = a shortfall warning, never a block.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⚠️ One question for the plant before this rule is coded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width formulas above are a working approximation inherited from practice — they add up the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outside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faces of the pipe. The strip that actually goes into the mill is slightly narrower, because the steel bends around the corners.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Ask the plant this, in these words:</w:t>
      </w:r>
    </w:p>
    <w:p>
      <w:pPr>
        <w:pBdr>
          <w:left w:val="single" w:color="B8C4D4" w:sz="12" w:space="10"/>
        </w:pBdr>
        <w:spacing w:after="60" w:before="120"/>
        <w:ind w:left="200"/>
      </w:pP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"When we roll a pipe, how wide is the steel strip that actually goes into the mill?</w:t>
      </w:r>
    </w:p>
    <w:p>
      <w:pPr>
        <w:pBdr>
          <w:left w:val="single" w:color="B8C4D4" w:sz="12" w:space="10"/>
        </w:pBdr>
        <w:spacing w:after="60" w:before="60"/>
        <w:ind w:left="200"/>
      </w:pP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Take a 50 × 50 × 2.0 mm square pipe as the example. Is the strip:</w:t>
      </w:r>
    </w:p>
    <w:p>
      <w:pPr>
        <w:pBdr>
          <w:left w:val="single" w:color="B8C4D4" w:sz="12" w:space="10"/>
        </w:pBdr>
        <w:spacing w:after="60" w:before="60"/>
        <w:ind w:left="200"/>
      </w:pP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(a) 200 mm — the four sides simply added up (50 × 4), or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(b) about 192 mm — a little less, because the steel bends around the corners, or</w:t>
      </w: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(c) some other number, once you allow for the trim and the weld?</w:t>
      </w:r>
    </w:p>
    <w:p>
      <w:pPr>
        <w:pBdr>
          <w:left w:val="single" w:color="B8C4D4" w:sz="12" w:space="10"/>
        </w:pBdr>
        <w:spacing w:after="200" w:before="60"/>
        <w:ind w:left="200"/>
      </w:pPr>
      <w:r>
        <w:rPr>
          <w:rFonts w:ascii="Calibri" w:cs="Calibri" w:eastAsia="Calibri" w:hAnsi="Calibri"/>
          <w:b/>
          <w:bCs/>
          <w:i/>
          <w:iCs/>
          <w:color w:val="595959"/>
          <w:sz w:val="20"/>
          <w:szCs w:val="20"/>
        </w:rPr>
        <w:t xml:space="preserve">Please give us the real strip width you use on the floor for 4–5 common sizes — square, rectangular and round."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Why it matters: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whatever number comes back is what a slit coil's width gets matched against. The two candidates differ by roughly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8 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on a 2 mm wall —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wider than the ±5 mm matching tolerance itself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. Pick the wrong one and the system quietly offers the wrong coils on every single batch, which is exactly the failure mode that made operators stop trusting the suggestion before.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Why thickness must be a lookup table, not a ±band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is the part most likely to be got wrong in a rebuild.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Which coil gauge can roll which pipe gauge is a plant rule sheet. The relation is asymmetric and many-to-many: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2.3 mm coil rolls 2.5 mm pipe — but a 2.5 coil never rolls 2.3 pipe.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Not symmetric.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3.0 coil rolls both 3.0 and 3.2.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One-to-many.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2.2 coil rolls both 2.2 and 2.3.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±0.3 mm band — which is what we originally built — fails in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both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directions: it admits pairings the mill never runs (2.6 coil → 2.5 pipe) and it cannot express the one-to-many rows at all.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And: if a finished gauge isn't in the rule sheet, the answer is "no eligible coil" — never a fallback to a band.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 silent fallback is what hid this bug for months.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Why not auto-select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Because wrong suggestions are what cause operators to override by hand, and unvalidated manual overrides are exactly what produced the 123.3 T over-consumption in Q4. The fix was to correct the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rule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and hard-block the impossible case while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keeping the human confirmation step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Recommendation: suggest, then require an explicit "accept".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If the business wants full auto-commit, it's implementable — but only on top of the write-time capacity block, and it is a reversal of a decision made for a concrete reason.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One more rule that matters: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manual override list must be wider than the suggestion.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Show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every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coil with meaningful free capacity, flagging the spec-matched ones and sorting them first. The floor sometimes has to run an off-spec coil, and a picker that only offers eligible coils forces the operator into a workaround you can't see.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8. Dispatch ↔ Contractor PO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Definition (confirmed by the business): the Contractor PO is the PO we issue to a contract manufacturer to produce pipes for us.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It attaches to the production batch — because that is the event it buys.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Not to the coil (that's the steel purchase) and not to the customer order (that's the sale).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What this adds to the model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production batch gains three attributes:</w:t>
      </w:r>
    </w:p>
    <w:tbl>
      <w:tblPr>
        <w:tblW w:type="dxa" w:w="9746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1195"/>
        <w:gridCol w:w="2482"/>
        <w:gridCol w:w="6069"/>
      </w:tblGrid>
      <w:tr>
        <w:trPr>
          <w:tblHeader/>
        </w:trPr>
        <w:tc>
          <w:tcPr>
            <w:tcW w:type="dxa" w:w="1195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Attribute</w:t>
            </w:r>
          </w:p>
        </w:tc>
        <w:tc>
          <w:tcPr>
            <w:tcW w:type="dxa" w:w="2482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Values</w:t>
            </w:r>
          </w:p>
        </w:tc>
        <w:tc>
          <w:tcPr>
            <w:tcW w:type="dxa" w:w="6069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1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Made by</w:t>
            </w:r>
          </w:p>
        </w:tc>
        <w:tc>
          <w:tcPr>
            <w:tcW w:type="dxa" w:w="24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Own plant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Contractor</w:t>
            </w:r>
          </w:p>
        </w:tc>
        <w:tc>
          <w:tcPr>
            <w:tcW w:type="dxa" w:w="60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Every production and stock report can split in-house vs outsourced</w:t>
            </w:r>
          </w:p>
        </w:tc>
      </w:tr>
      <w:tr>
        <w:tc>
          <w:tcPr>
            <w:tcW w:type="dxa" w:w="1195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Contractor</w:t>
            </w:r>
          </w:p>
        </w:tc>
        <w:tc>
          <w:tcPr>
            <w:tcW w:type="dxa" w:w="2482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reference to the contractor</w:t>
            </w:r>
          </w:p>
        </w:tc>
        <w:tc>
          <w:tcPr>
            <w:tcW w:type="dxa" w:w="606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Who made it</w:t>
            </w:r>
          </w:p>
        </w:tc>
      </w:tr>
      <w:tr>
        <w:tc>
          <w:tcPr>
            <w:tcW w:type="dxa" w:w="11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Contractor PO</w:t>
            </w:r>
          </w:p>
        </w:tc>
        <w:tc>
          <w:tcPr>
            <w:tcW w:type="dxa" w:w="24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reference to the PO</w:t>
            </w:r>
          </w:p>
        </w:tc>
        <w:tc>
          <w:tcPr>
            <w:tcW w:type="dxa" w:w="60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Which commitment it was made against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Contractor PO itself is a new document with a header and lines: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Header  : contractor, PO date, agreed conversion rate, status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Lines   : SKU, ordered quantity (pieces and/or MT), delivery date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How Dispatch links to it — </w:t>
      </w: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no new field on dispatch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chain already reaches it:</w:t>
      </w:r>
    </w:p>
    <w:p>
      <w:pPr>
        <w:keepNext w:val="false"/>
        <w:keepLines/>
        <w:pBdr>
          <w:top w:val="single" w:color="F2F4F7" w:sz="2" w:space="4"/>
          <w:bottom w:val="single" w:color="F2F4F7" w:sz="2" w:space="4"/>
          <w:left w:val="single" w:color="2E5C8A" w:sz="12" w:space="8"/>
        </w:pBdr>
        <w:shd w:fill="F2F4F7" w:color="auto" w:val="clear"/>
        <w:spacing w:after="14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Invoice line ─► allocation rows ─► production batch ─► Contractor PO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is the same inheritance as Q1. Any dispatch report can be sliced by Contractor PO for free.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What the linkage makes possible</w:t>
      </w:r>
    </w:p>
    <w:tbl>
      <w:tblPr>
        <w:tblW w:type="dxa" w:w="9746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4528"/>
        <w:gridCol w:w="5218"/>
      </w:tblGrid>
      <w:tr>
        <w:trPr>
          <w:tblHeader/>
        </w:trPr>
        <w:tc>
          <w:tcPr>
            <w:tcW w:type="dxa" w:w="4528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5218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How it's answered</w:t>
            </w:r>
          </w:p>
        </w:tc>
      </w:tr>
      <w:tr>
        <w:tc>
          <w:tcPr>
            <w:tcW w:type="dxa" w:w="45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How much of Contractor PO X has been produced?</w:t>
            </w:r>
          </w:p>
        </w:tc>
        <w:tc>
          <w:tcPr>
            <w:tcW w:type="dxa" w:w="52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Σ pieces on production batches referencing X</w:t>
            </w:r>
          </w:p>
        </w:tc>
      </w:tr>
      <w:tr>
        <w:tc>
          <w:tcPr>
            <w:tcW w:type="dxa" w:w="4528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What's still open on X?</w:t>
            </w:r>
          </w:p>
        </w:tc>
        <w:tc>
          <w:tcPr>
            <w:tcW w:type="dxa" w:w="5218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ordered − produced, per SKU line</w:t>
            </w:r>
          </w:p>
        </w:tc>
      </w:tr>
      <w:tr>
        <w:tc>
          <w:tcPr>
            <w:tcW w:type="dxa" w:w="45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How much of X has been dispatched / invoiced?</w:t>
            </w:r>
          </w:p>
        </w:tc>
        <w:tc>
          <w:tcPr>
            <w:tcW w:type="dxa" w:w="52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inherited through the allocation chain</w:t>
            </w:r>
          </w:p>
        </w:tc>
      </w:tr>
      <w:tr>
        <w:tc>
          <w:tcPr>
            <w:tcW w:type="dxa" w:w="4528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What did contractor-made stock cost?</w:t>
            </w:r>
          </w:p>
        </w:tc>
        <w:tc>
          <w:tcPr>
            <w:tcW w:type="dxa" w:w="5218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coil cost (via mother) + the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PO's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conversion rate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Note the costing consequence: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for a contractor batch the conversion rate comes from the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Contractor PO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not from the SKU master's in-house conversion ladder. The SKU master's base-conversion/thickness-extra fields describe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our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plant's rates. Don't apply them to outsourced production — build the rate lookup as "own plant → SKU ladder; contractor → PO rate".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Whose steel? — </w:t>
      </w: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confirmed: it is job work, on our own coil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contractor converts coil that we supply and that we have already brought into our system.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They do not bring their own steel.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This is the good case: the traceability chain stays completely intact.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Our mother coil → our baby coil → production batch (made by: Contractor, under Contractor PO X)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│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└─► normal allocation rows, exactly as in-house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Everything in Q1–Q5 applies unchanged. A contractor batch consumes our baby coils and carries the same allocation rows as an in-house batch.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only difference is where the machine stood.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That gives three things for free: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Full mother-coil traceability on contractor-made pipe, same as in-house.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Coil capacity is debited correctly — the &gt;105% block works identically.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In-house vs outsourced is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reporting split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not a separate flow to build.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Two things worth building because the steel physically leaves the plant: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 material issue / return movement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against the Contractor PO — coil sent out, pipe received back. It doesn't change the costing chain, but without it nobody can see what steel is currently sitting at a contractor's premises.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 yield check per Contractor PO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steel issued vs finished weight received. On job work this is the number that matters commercially, and the allocation chain already contains both halves of it.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(If the business ever buys finished pipe outright from a contractor — their steel, not ours — that is a genuinely different flow with no coil chain behind it. It is out of scope here; raise it as a change rather than bending this one to fit.)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9. SKU Master — source, fields, and the weight formula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Source: the SKU master maintained by Shubham Narwane. None of these fields exist in Zoho Books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Zoho carries only the transactional identity (the item code and description that appear on order and invoice lines).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Everything below has to be set up and maintained as master data in the new system.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(a) Weight of one tube — the formula, for all types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is what produces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060"/>
          <w:sz w:val="19"/>
          <w:szCs w:val="19"/>
        </w:rPr>
        <w:t xml:space="preserve">weight per tube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value.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It is used once, to build the master. The running system then reads the master and never recalculates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(principle 1).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Constant: steel density = 7.85 g/cm³.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All dimensions in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mm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result in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kg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Square and Rectangular Hollow Section (SHS, RHS)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┌────────────────────────────────────────┐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Area (mm²)  │  A = 2 × t × (H + B)  −  4 × t²        │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└────────────────────────────────────────┘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Weight (kg) =  A × L × 7.85 ÷ 1,000,000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H = height (mm)   B = breadth (mm)   t = wall thickness (mm)   L = length (mm)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SHS is simply the case where H = B — one formula covers both.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Circular Hollow Section (CHS) — and ERW round pipe, which is geometrically identical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┌────────────────────────────────────────┐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Area (mm²)  │  A = π × (OD − t) × t                  │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└────────────────────────────────────────┘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Weight (kg) =  A × L × 7.85 ÷ 1,000,000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OD = outside diameter (mm)   t = wall thickness (mm)   L = length (mm)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Note it is (OD − t), i.e. the MEAN diameter — not OD, and not the bore.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Worked examples, verified against the existing master (exact to every decimal):</w:t>
      </w:r>
    </w:p>
    <w:tbl>
      <w:tblPr>
        <w:tblW w:type="dxa" w:w="9746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2499"/>
        <w:gridCol w:w="5914"/>
        <w:gridCol w:w="1333"/>
      </w:tblGrid>
      <w:tr>
        <w:trPr>
          <w:tblHeader/>
        </w:trPr>
        <w:tc>
          <w:tcPr>
            <w:tcW w:type="dxa" w:w="2499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SKU</w:t>
            </w:r>
          </w:p>
        </w:tc>
        <w:tc>
          <w:tcPr>
            <w:tcW w:type="dxa" w:w="5914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1333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Weight/tube</w:t>
            </w:r>
          </w:p>
        </w:tc>
      </w:tr>
      <w:t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SHS 25×25×2.50×6000</w:t>
            </w:r>
          </w:p>
        </w:tc>
        <w:tc>
          <w:tcPr>
            <w:tcW w:type="dxa" w:w="59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A = 2(2.5)(50) − 4(2.5²) = 250 − 25 = 225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225 × 6000 × 7.85 ÷ 10⁶</w:t>
            </w:r>
          </w:p>
        </w:tc>
        <w:tc>
          <w:tcPr>
            <w:tcW w:type="dxa" w:w="133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10.5975 kg</w:t>
            </w:r>
          </w:p>
        </w:tc>
      </w:tr>
      <w:tr>
        <w:tc>
          <w:tcPr>
            <w:tcW w:type="dxa" w:w="24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RHS 40×20×1.20×6000</w:t>
            </w:r>
          </w:p>
        </w:tc>
        <w:tc>
          <w:tcPr>
            <w:tcW w:type="dxa" w:w="5914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A = 2(1.2)(60) − 4(1.44) = 144 − 5.76 = 138.24</w:t>
            </w:r>
          </w:p>
        </w:tc>
        <w:tc>
          <w:tcPr>
            <w:tcW w:type="dxa" w:w="1333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6.511104 kg</w:t>
            </w:r>
          </w:p>
        </w:tc>
      </w:tr>
      <w:t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RHS 200×100×2.20×6000</w:t>
            </w:r>
          </w:p>
        </w:tc>
        <w:tc>
          <w:tcPr>
            <w:tcW w:type="dxa" w:w="59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A = 2(2.2)(300) − 4(4.84) = 1320 − 19.36 = 1300.64</w:t>
            </w:r>
          </w:p>
        </w:tc>
        <w:tc>
          <w:tcPr>
            <w:tcW w:type="dxa" w:w="133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61.260144 kg</w:t>
            </w:r>
          </w:p>
        </w:tc>
      </w:tr>
      <w:tr>
        <w:tc>
          <w:tcPr>
            <w:tcW w:type="dxa" w:w="24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CHS 32 NB (OD 42.4) ×2.20×6000</w:t>
            </w:r>
          </w:p>
        </w:tc>
        <w:tc>
          <w:tcPr>
            <w:tcW w:type="dxa" w:w="5914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A = π(42.4 − 2.2)(2.2) = π(88.44) = 277.8425</w:t>
            </w:r>
          </w:p>
        </w:tc>
        <w:tc>
          <w:tcPr>
            <w:tcW w:type="dxa" w:w="1333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13.086380 kg</w:t>
            </w:r>
          </w:p>
        </w:tc>
      </w:tr>
      <w:t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CHS 15 NB (OD 21.3) ×1.60×6000</w:t>
            </w:r>
          </w:p>
        </w:tc>
        <w:tc>
          <w:tcPr>
            <w:tcW w:type="dxa" w:w="59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A = π(21.3 − 1.6)(1.6) = π(31.52) = 99.0230</w:t>
            </w:r>
          </w:p>
        </w:tc>
        <w:tc>
          <w:tcPr>
            <w:tcW w:type="dxa" w:w="133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4.663983 kg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Two conventions to reproduce exactly, or the numbers won't match: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Sharp corners.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hollow-section formula assumes square corners with no radius deduction. Real sections have rounded corners and are marginally lighter — the master does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deduct for this. Be consistent; don't mix a rounded-corner formula into the same catalogue.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Nominal Bore is a label, not a dimension.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"32 NB" is a naming convention — the calculation uses the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outside diameter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(32 NB → OD 42.4 mm). Both must be stored; only OD is calculated with.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(b) The required fields</w:t>
      </w:r>
    </w:p>
    <w:tbl>
      <w:tblPr>
        <w:tblW w:type="dxa" w:w="9746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761"/>
        <w:gridCol w:w="2166"/>
        <w:gridCol w:w="2599"/>
        <w:gridCol w:w="4220"/>
      </w:tblGrid>
      <w:tr>
        <w:trPr>
          <w:tblHeader/>
        </w:trPr>
        <w:tc>
          <w:tcPr>
            <w:tcW w:type="dxa" w:w="761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66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2599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Set by</w:t>
            </w:r>
          </w:p>
        </w:tc>
        <w:tc>
          <w:tcPr>
            <w:tcW w:type="dxa" w:w="4220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Why it exists</w:t>
            </w:r>
          </w:p>
        </w:tc>
      </w:tr>
      <w:tr>
        <w:tc>
          <w:tcPr>
            <w:tcW w:type="dxa" w:w="7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21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SKU code</w:t>
            </w:r>
          </w:p>
        </w:tc>
        <w:tc>
          <w:tcPr>
            <w:tcW w:type="dxa" w:w="25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Derived from dimensions;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immutable once used</w:t>
            </w:r>
          </w:p>
        </w:tc>
        <w:tc>
          <w:tcPr>
            <w:tcW w:type="dxa" w:w="4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The join key to the ERP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every imported order and invoice line matches on it. Renaming it orphans all history</w:t>
            </w:r>
          </w:p>
        </w:tc>
      </w:tr>
      <w:tr>
        <w:tc>
          <w:tcPr>
            <w:tcW w:type="dxa" w:w="76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16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5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Derived from dimensions</w:t>
            </w:r>
          </w:p>
        </w:tc>
        <w:tc>
          <w:tcPr>
            <w:tcW w:type="dxa" w:w="422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Fallback match for documents that omit the code</w:t>
            </w:r>
          </w:p>
        </w:tc>
      </w:tr>
      <w:tr>
        <w:tc>
          <w:tcPr>
            <w:tcW w:type="dxa" w:w="7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1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Product type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SHS / RHS / CHS / ERW</w:t>
            </w:r>
          </w:p>
        </w:tc>
        <w:tc>
          <w:tcPr>
            <w:tcW w:type="dxa" w:w="25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Load-bearing, not a label.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Selects the weight formula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000000"/>
                <w:sz w:val="19"/>
                <w:szCs w:val="19"/>
              </w:rPr>
              <w:t xml:space="preserve">and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the strip-width formula, so it directly determines which baby coils are eligible in production. Also groups the stock reports</w:t>
            </w:r>
          </w:p>
        </w:tc>
      </w:tr>
      <w:tr>
        <w:tc>
          <w:tcPr>
            <w:tcW w:type="dxa" w:w="76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16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Height (mm)</w:t>
            </w:r>
          </w:p>
        </w:tc>
        <w:tc>
          <w:tcPr>
            <w:tcW w:type="dxa" w:w="25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SHS/RHS geometry → weight + strip width</w:t>
            </w:r>
          </w:p>
        </w:tc>
      </w:tr>
      <w:tr>
        <w:tc>
          <w:tcPr>
            <w:tcW w:type="dxa" w:w="7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1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Breadth (mm)</w:t>
            </w:r>
          </w:p>
        </w:tc>
        <w:tc>
          <w:tcPr>
            <w:tcW w:type="dxa" w:w="25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SHS/RHS geometry → weight + strip width</w:t>
            </w:r>
          </w:p>
        </w:tc>
      </w:tr>
      <w:tr>
        <w:tc>
          <w:tcPr>
            <w:tcW w:type="dxa" w:w="76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16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Nominal bore</w:t>
            </w:r>
          </w:p>
        </w:tc>
        <w:tc>
          <w:tcPr>
            <w:tcW w:type="dxa" w:w="25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CHS naming ("32 NB"). Label only — never calculated with</w:t>
            </w:r>
          </w:p>
        </w:tc>
      </w:tr>
      <w:tr>
        <w:tc>
          <w:tcPr>
            <w:tcW w:type="dxa" w:w="7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1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Outside diameter (mm)</w:t>
            </w:r>
          </w:p>
        </w:tc>
        <w:tc>
          <w:tcPr>
            <w:tcW w:type="dxa" w:w="25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CHS geometry → weight + strip width</w:t>
            </w:r>
          </w:p>
        </w:tc>
      </w:tr>
      <w:tr>
        <w:tc>
          <w:tcPr>
            <w:tcW w:type="dxa" w:w="76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216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Thickness (mm)</w:t>
            </w:r>
          </w:p>
        </w:tc>
        <w:tc>
          <w:tcPr>
            <w:tcW w:type="dxa" w:w="25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Weight, and the coil-gauge match via the RM→FG rule table (Q7)</w:t>
            </w:r>
          </w:p>
        </w:tc>
      </w:tr>
      <w:tr>
        <w:tc>
          <w:tcPr>
            <w:tcW w:type="dxa" w:w="7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21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Length (mm)</w:t>
            </w:r>
          </w:p>
        </w:tc>
        <w:tc>
          <w:tcPr>
            <w:tcW w:type="dxa" w:w="25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 (typically 6000)</w:t>
            </w:r>
          </w:p>
        </w:tc>
        <w:tc>
          <w:tcPr>
            <w:tcW w:type="dxa" w:w="4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Weight, and reporting</w:t>
            </w:r>
          </w:p>
        </w:tc>
      </w:tr>
      <w:tr>
        <w:tc>
          <w:tcPr>
            <w:tcW w:type="dxa" w:w="76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216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HSN code</w:t>
            </w:r>
          </w:p>
        </w:tc>
        <w:tc>
          <w:tcPr>
            <w:tcW w:type="dxa" w:w="25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Statutory reporting only</w:t>
            </w:r>
          </w:p>
        </w:tc>
      </w:tr>
      <w:tr>
        <w:tc>
          <w:tcPr>
            <w:tcW w:type="dxa" w:w="7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21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Status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published / draft</w:t>
            </w:r>
          </w:p>
        </w:tc>
        <w:tc>
          <w:tcPr>
            <w:tcW w:type="dxa" w:w="25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Only published SKUs are selectable in production</w:t>
            </w:r>
          </w:p>
        </w:tc>
      </w:tr>
      <w:tr>
        <w:tc>
          <w:tcPr>
            <w:tcW w:type="dxa" w:w="76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216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Weight per tube (kg)</w:t>
            </w:r>
          </w:p>
        </w:tc>
        <w:tc>
          <w:tcPr>
            <w:tcW w:type="dxa" w:w="25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Manual — mandatory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, built with (a)</w:t>
            </w:r>
          </w:p>
        </w:tc>
        <w:tc>
          <w:tcPr>
            <w:tcW w:type="dxa" w:w="422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The single source of every weight in the system.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Pieces↔tonnes, everywhere.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 published SKU with no weight must be refused at save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— otherwise every batch and invoice of it silently records zero tonnes</w:t>
            </w:r>
          </w:p>
        </w:tc>
      </w:tr>
      <w:tr>
        <w:tc>
          <w:tcPr>
            <w:tcW w:type="dxa" w:w="7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21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Base conversion (₹/MT)</w:t>
            </w:r>
          </w:p>
        </w:tc>
        <w:tc>
          <w:tcPr>
            <w:tcW w:type="dxa" w:w="25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In-house conversion charge, base rate</w:t>
            </w:r>
          </w:p>
        </w:tc>
      </w:tr>
      <w:tr>
        <w:tc>
          <w:tcPr>
            <w:tcW w:type="dxa" w:w="76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216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Thickness extra (₹/MT)</w:t>
            </w:r>
          </w:p>
        </w:tc>
        <w:tc>
          <w:tcPr>
            <w:tcW w:type="dxa" w:w="25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422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In-house gauge premium</w:t>
            </w:r>
          </w:p>
        </w:tc>
      </w:tr>
      <w:tr>
        <w:tc>
          <w:tcPr>
            <w:tcW w:type="dxa" w:w="7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216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Ladder price (₹/MT)</w:t>
            </w:r>
          </w:p>
        </w:tc>
        <w:tc>
          <w:tcPr>
            <w:tcW w:type="dxa" w:w="25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Derived</w:t>
            </w:r>
          </w:p>
        </w:tc>
        <w:tc>
          <w:tcPr>
            <w:tcW w:type="dxa" w:w="42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base conversion + thickness extra</w:t>
            </w:r>
          </w:p>
        </w:tc>
      </w:tr>
      <w:tr>
        <w:tc>
          <w:tcPr>
            <w:tcW w:type="dxa" w:w="761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2166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 conversion (₹)</w:t>
            </w:r>
          </w:p>
        </w:tc>
        <w:tc>
          <w:tcPr>
            <w:tcW w:type="dxa" w:w="2599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Derived</w:t>
            </w:r>
          </w:p>
        </w:tc>
        <w:tc>
          <w:tcPr>
            <w:tcW w:type="dxa" w:w="4220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B03060"/>
                <w:sz w:val="17"/>
                <w:szCs w:val="17"/>
              </w:rPr>
              <w:t xml:space="preserve">weight per tube × ladder price ÷ 1000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Fields 13–16 describe our own plant's rates.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For contractor-made stock the conversion rate comes from the Contractor PO instead — see Q8.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(c) On "Conversion Form" — </w:t>
      </w: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not required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business has confirmed this field is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not needed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. Do not build it. Fields 13–16 above are the entire conversion model for in-house production; contractor conversion is priced from the Contractor PO instead (Q8).</w:t>
      </w:r>
    </w:p>
    <w:p>
      <w:pPr>
        <w:pStyle w:val="Heading2"/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(d) Practical notes for the build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Enforce uniqueness on the SKU code in the database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not just in the UI. A duplicate under a second identifier is the kind of thing that fails an entire import batch and is painful to diagnose.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Guard against decimal-format duplicates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060"/>
          <w:sz w:val="19"/>
          <w:szCs w:val="19"/>
        </w:rPr>
        <w:t xml:space="preserve">…1.6×6000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B03060"/>
          <w:sz w:val="19"/>
          <w:szCs w:val="19"/>
        </w:rPr>
        <w:t xml:space="preserve">…1.60×6000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are the same physical product and will fragment inventory across two codes. Match on a canonical (normalised) identity before allowing a new SKU.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Our current catalogue is ~247 SKUs. Treat the load as a real master-data exercise, not an import.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10. Sales Dashboard — </w:t>
      </w: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parked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At the business's instruction, the Sales Dashboard is deferred: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the detailed specification will be shared once the production and dispatch modules are complete.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Don't design against the current one.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One structural point to carry forward now, so nothing gets wired the wrong way in the meantime: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LANE A — physical    coil inward → slitting → production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  feeds: stock on hand, coil tracker, RM and FG reports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LANE B — commercial  imported sales documents → order book + invoices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                     feeds: everything on the sales side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Production data must never feed sales figures directly.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Producing 500 tonnes changes stock; it does not change sales until those tonnes are invoiced. If the two lanes get merged, tonnage gets counted as revenue before it is billed, and unwinding that later is expensive.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(This is also why test transactions entered through production never appeared on the sales dashboard — the lanes are separate by design, not by fault.)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11. Production entry timing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After production completes. It is a completion record, not a work order.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production entry captures: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date, SKU, pieces made, and the coils consumed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(plus the made-by / Contractor PO attributes from Q8).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Why it cannot be created up front: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production entry </w:t>
      </w: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is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consumption event. Saving it immediately:</w:t>
      </w:r>
    </w:p>
    <w:p>
      <w:pPr>
        <w:keepNext/>
        <w:keepLines/>
        <w:pBdr>
          <w:top w:val="single" w:color="F2F4F7" w:sz="2" w:space="4"/>
          <w:left w:val="single" w:color="2E5C8A" w:sz="12" w:space="8"/>
        </w:pBdr>
        <w:shd w:fill="F2F4F7" w:color="auto" w:val="clear"/>
        <w:spacing w:after="0" w:before="10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1. debits capacity from the baby coils it names   → drives every free/used figure and the &gt;105% block</w:t>
      </w:r>
    </w:p>
    <w:p>
      <w:pPr>
        <w:keepNext/>
        <w:keepLines/>
        <w:pBdr>
          <w:left w:val="single" w:color="2E5C8A" w:sz="12" w:space="8"/>
        </w:pBdr>
        <w:shd w:fill="F2F4F7" w:color="auto" w:val="clear"/>
        <w:spacing w:after="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2. adds tonnage to finished-goods stock            → makes it sellable</w:t>
      </w:r>
    </w:p>
    <w:p>
      <w:pPr>
        <w:keepNext w:val="false"/>
        <w:keepLines/>
        <w:pBdr>
          <w:bottom w:val="single" w:color="F2F4F7" w:sz="2" w:space="4"/>
          <w:left w:val="single" w:color="2E5C8A" w:sz="12" w:space="8"/>
        </w:pBdr>
        <w:shd w:fill="F2F4F7" w:color="auto" w:val="clear"/>
        <w:spacing w:after="140" w:before="0" w:line="240"/>
        <w:ind w:left="170"/>
      </w:pPr>
      <w:r>
        <w:rPr>
          <w:rFonts w:ascii="Consolas" w:cs="Consolas" w:eastAsia="Consolas" w:hAnsi="Consolas"/>
          <w:sz w:val="17"/>
          <w:szCs w:val="17"/>
        </w:rPr>
        <w:t xml:space="preserve">3. makes those pieces available to invoice lines   → the FIFO queue in Q1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entry created before the run consumes steel still sitting on the floor and creates finished stock that doesn't exist. Everything downstream inherits the lie.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Note on status: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any status on a production record should describe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allocation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(are all pieces assigned to a coil? fully / partially / not at all) —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manufacturing progress. Don't overload one field with both.</w:t>
      </w: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If planned production is genuinely needed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model it as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separate entity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a production plan with an expected date and a target quantity — and keep the consumption event distinct, created only on completion. Do not add a "planned" flag to the consumption record; the moment consumption is conditional, every stock figure needs to know which flag it's looking at.</w:t>
      </w:r>
    </w:p>
    <w:p>
      <w:pPr>
        <w:spacing w:after="140" w:before="6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21"/>
          <w:szCs w:val="21"/>
        </w:rPr>
        <w:t xml:space="preserve">(Note: a Contractor PO line is effectively an outsourced production plan already — ordered quantity with a delivery date, against which batches are booked. If in-house planning is wanted later, model it the same way rather than inventing a second pattern.)</w:t>
      </w:r>
    </w:p>
    <w:p>
      <w:pPr>
        <w:pBdr>
          <w:bottom w:val="single" w:color="D0D5DD" w:sz="6" w:space="1"/>
        </w:pBdr>
        <w:spacing w:after="200" w:before="160"/>
      </w:pP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Summary — all eleven, settled</w:t>
      </w:r>
    </w:p>
    <w:tbl>
      <w:tblPr>
        <w:tblW w:type="dxa" w:w="9746"/>
        <w:tblBorders>
          <w:top w:val="single" w:color="D0D5DD" w:sz="2"/>
          <w:left w:val="single" w:color="D0D5DD" w:sz="2"/>
          <w:bottom w:val="single" w:color="D0D5DD" w:sz="2"/>
          <w:right w:val="single" w:color="D0D5DD" w:sz="2"/>
          <w:insideH w:val="single" w:color="D0D5DD" w:sz="2"/>
          <w:insideV w:val="single" w:color="D0D5DD" w:sz="2"/>
        </w:tblBorders>
      </w:tblPr>
      <w:tblGrid>
        <w:gridCol w:w="1522"/>
        <w:gridCol w:w="8224"/>
      </w:tblGrid>
      <w:tr>
        <w:trPr>
          <w:tblHeader/>
        </w:trPr>
        <w:tc>
          <w:tcPr>
            <w:tcW w:type="dxa" w:w="1522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8224"/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1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1, 3, 5</w:t>
            </w:r>
          </w:p>
        </w:tc>
        <w:tc>
          <w:tcPr>
            <w:tcW w:type="dxa" w:w="8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Traceability runs on allocation rows (baby + mother), inherited by invoice lines via FIFO. Dispatch is never entered against a coil</w:t>
            </w:r>
          </w:p>
        </w:tc>
      </w:tr>
      <w:tr>
        <w:tc>
          <w:tcPr>
            <w:tcW w:type="dxa" w:w="1522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2, 8</w:t>
            </w:r>
          </w:p>
        </w:tc>
        <w:tc>
          <w:tcPr>
            <w:tcW w:type="dxa" w:w="8224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Three POs, one per stage: Vendor→coil,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Contractor→production batch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, Customer→order. Contractor work is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job work on our own coil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, so the chain stays intact</w:t>
            </w:r>
          </w:p>
        </w:tc>
      </w:tr>
      <w:tr>
        <w:tc>
          <w:tcPr>
            <w:tcW w:type="dxa" w:w="1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8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Used = Σ allocation weights; status is Active/Consumed (manual); &gt;105% must hard-block;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 baby coil's weight freezes once produced</w:t>
            </w:r>
          </w:p>
        </w:tc>
      </w:tr>
      <w:tr>
        <w:tc>
          <w:tcPr>
            <w:tcW w:type="dxa" w:w="1522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8224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Width check = Σ baby widths vs mother width, three tiers; over-width should block</w:t>
            </w:r>
          </w:p>
        </w:tc>
      </w:tr>
      <w:tr>
        <w:tc>
          <w:tcPr>
            <w:tcW w:type="dxa" w:w="1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8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Suggest-and-confirm; width ±5 mm + RM→FG lookup table; FIFO on slit date</w:t>
            </w:r>
          </w:p>
        </w:tc>
      </w:tr>
      <w:tr>
        <w:tc>
          <w:tcPr>
            <w:tcW w:type="dxa" w:w="1522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8224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 fields and the weight formulas above. Source is the maintained SKU master,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Zoho.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"Conversion Form" is not required</w:t>
            </w:r>
          </w:p>
        </w:tc>
      </w:tr>
      <w:tr>
        <w:tc>
          <w:tcPr>
            <w:tcW w:type="dxa" w:w="1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8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Parked — spec to follow once production and dispatch are complete</w:t>
            </w:r>
          </w:p>
        </w:tc>
      </w:tr>
      <w:tr>
        <w:tc>
          <w:tcPr>
            <w:tcW w:type="dxa" w:w="1522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8224"/>
            <w:shd w:fill="F4F6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Production is a completion record; model planning separately if it is ever needed</w:t>
            </w:r>
          </w:p>
        </w:tc>
      </w:tr>
    </w:tbl>
    <w:p>
      <w:pPr>
        <w:spacing w:after="160"/>
      </w:pPr>
    </w:p>
    <w:p>
      <w:pPr>
        <w:spacing w:after="140" w:before="6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Nothing is blocked on the tech team.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one outstanding item is a question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for the plant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the real strip width a pipe consumes (Q7), written out ready to ask. Until it comes back, build the matching rule so the formula is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configurable value, not a hard-coded 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and swapping it later is a settings change rather than a code change.</w:t>
      </w:r>
    </w:p>
    <w:p>
      <w:pPr>
        <w:pStyle w:val="Heading1"/>
        <w:keepNext/>
        <w:pBdr>
          <w:bottom w:val="single" w:color="D0D5DD" w:sz="6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8"/>
          <w:szCs w:val="28"/>
        </w:rPr>
        <w:t xml:space="preserve">The four rules worth carrying over unchanged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Weight comes from the SKU master's weight-per-tube — the running system never recalculates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Production consumes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baby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coils, and every allocation carries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both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the baby and its mother.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Block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physically impossible states at write time. A warning that saves anyway is not a validation.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Coil-to-pipe thickness is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lookup table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not a tolerance band — asymmetric and many-to-many.</w:t>
      </w:r>
    </w:p>
    <w:sectPr>
      <w:headerReference w:type="default" r:id="rId7"/>
      <w:footerReference w:type="default" r:id="rId8"/>
      <w:pgSz w:w="11906" w:h="16838" w:orient="portrait"/>
      <w:pgMar w:top="1134" w:right="1080" w:bottom="113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D" w:sz="4" w:space="4"/>
      </w:pBdr>
      <w:spacing w:after="100"/>
      <w:jc w:val="right"/>
    </w:pPr>
    <w:r>
      <w:rPr>
        <w:color w:val="595959"/>
        <w:sz w:val="16"/>
        <w:szCs w:val="16"/>
      </w:rPr>
      <w:t xml:space="preserve">JSW Pipes &amp; Tubes — system logic for the new build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Pipes &amp; Tubes — business logic and entity connections</dc:title>
  <dc:creator>JSW Pipes &amp; Tubes</dc:creator>
  <dc:description>Answers to the tech team’s questions, as implementation-agnostic logic</dc:description>
  <cp:lastModifiedBy>Un-named</cp:lastModifiedBy>
  <cp:revision>1</cp:revision>
  <dcterms:created xsi:type="dcterms:W3CDTF">2026-08-17T06:54:00.231Z</dcterms:created>
  <dcterms:modified xsi:type="dcterms:W3CDTF">2026-08-17T06:54:00.231Z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