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964"/>
          <w:sz w:val="48"/>
        </w:rPr>
        <w:t>Inflation &amp; Unemployment Forecasting Bake-Off</w:t>
      </w:r>
    </w:p>
    <w:p>
      <w:pPr>
        <w:jc w:val="center"/>
      </w:pPr>
      <w:r>
        <w:rPr>
          <w:b/>
          <w:color w:val="1F3964"/>
          <w:sz w:val="32"/>
        </w:rPr>
        <w:t>Traditional Econometric Models vs Machine Learning</w:t>
      </w:r>
    </w:p>
    <w:p/>
    <w:p>
      <w:pPr>
        <w:jc w:val="center"/>
      </w:pPr>
      <w:r>
        <w:rPr>
          <w:color w:val="2E75B6"/>
          <w:sz w:val="24"/>
        </w:rPr>
        <w:t>Final Project Report</w:t>
      </w:r>
    </w:p>
    <w:p>
      <w:pPr>
        <w:jc w:val="center"/>
      </w:pPr>
      <w:r>
        <w:rPr>
          <w:color w:val="888888"/>
          <w:sz w:val="22"/>
        </w:rPr>
        <w:t>May 2026</w:t>
      </w:r>
    </w:p>
    <w:p/>
    <w:p/>
    <w:p>
      <w:pPr>
        <w:spacing w:before="160" w:after="160"/>
        <w:ind w:left="648" w:right="648"/>
      </w:pPr>
      <w:r>
        <w:rPr>
          <w:i/>
          <w:color w:val="2E75B6"/>
          <w:sz w:val="21"/>
        </w:rPr>
        <w:t>Do traditional time-series models outperform machine learning methods in forecasting inflation and unemployment, or do ML methods gain an edge once richer predictor sets and nonlinear patterns are included?</w:t>
      </w:r>
    </w:p>
    <w:p>
      <w:r>
        <w:br w:type="page"/>
      </w:r>
    </w:p>
    <w:p>
      <w:pPr>
        <w:spacing w:before="400" w:after="100"/>
      </w:pPr>
      <w:r>
        <w:rPr>
          <w:b/>
          <w:color w:val="1F3964"/>
          <w:sz w:val="28"/>
        </w:rPr>
        <w:t>Executive Summary</w:t>
      </w:r>
    </w:p>
    <w:p>
      <w:pPr>
        <w:spacing w:after="120"/>
      </w:pPr>
      <w:r>
        <w:rPr>
          <w:color w:val="404040"/>
          <w:sz w:val="20"/>
        </w:rPr>
        <w:t>This project constructs a rigorous forecasting competition between seven models — two classical time-series models, four machine learning methods, and a naive benchmark — evaluated on monthly U.S. inflation and unemployment data from 2000 to 2026. Each model is tested under expanding-window backtesting, ensuring no look-ahead bias. Forecast accuracy is measured at horizons of 1, 3, and 6 months ahead.</w:t>
      </w:r>
    </w:p>
    <w:p>
      <w:pPr>
        <w:spacing w:after="120"/>
      </w:pPr>
      <w:r>
        <w:rPr>
          <w:color w:val="404040"/>
          <w:sz w:val="20"/>
        </w:rPr>
        <w:t>XGBoost is the strongest performer overall, winning five of six target-horizon combinations on RMSE. Lasso regression wins the remaining cell — short-horizon inflation — where variable selection over a rich predictor set proves more effective than ensemble methods. Classical models (ARIMA, VAR) are never the outright winner in any category, though ARIMA remains competitive for short-horizon inflation forecasting.</w:t>
      </w:r>
    </w:p>
    <w:p>
      <w:pPr>
        <w:spacing w:after="120"/>
      </w:pPr>
      <w:r>
        <w:rPr>
          <w:color w:val="404040"/>
          <w:sz w:val="20"/>
        </w:rPr>
        <w:t>The most significant finding is the COVID-19 stress test. During the 2020 economic shock, tree-based models (XGBoost, Random Forest) maintained meaningful forecast accuracy while classical models and linear machine learning methods produced catastrophically large errors for unemployment. XGBoost is the only model that performs consistently well across all three macroeconomic regimes tested: pre-2008, 2008–2019, and 2020 onward.</w:t>
      </w:r>
    </w:p>
    <w:p>
      <w:pPr>
        <w:spacing w:after="120"/>
      </w:pPr>
      <w:r>
        <w:rPr>
          <w:color w:val="404040"/>
          <w:sz w:val="20"/>
        </w:rPr>
        <w:t>The project concludes that machine learning — specifically gradient boosting — adds genuine, measurable value in macroeconomic forecasting. The gains are most pronounced at longer horizons and during periods of economic stress, precisely where traditional models are most likely to fail.</w:t>
      </w:r>
    </w:p>
    <w:p>
      <w:pPr>
        <w:spacing w:before="400" w:after="100"/>
      </w:pPr>
      <w:r>
        <w:rPr>
          <w:b/>
          <w:color w:val="1F3964"/>
          <w:sz w:val="28"/>
        </w:rPr>
        <w:t>1. Motivation</w:t>
      </w:r>
    </w:p>
    <w:p>
      <w:pPr>
        <w:spacing w:after="120"/>
      </w:pPr>
      <w:r>
        <w:rPr>
          <w:color w:val="404040"/>
          <w:sz w:val="20"/>
        </w:rPr>
        <w:t>Inflation and unemployment are among the most consequential macroeconomic variables monitored by policymakers, businesses, and financial markets. The Federal Reserve's dual mandate — price stability and maximum employment — is defined entirely in terms of these two series. Accurate near-term forecasts of both variables directly inform interest rate decisions, fiscal policy design, corporate hiring plans, and fixed-income pricing.</w:t>
      </w:r>
    </w:p>
    <w:p>
      <w:pPr>
        <w:spacing w:after="120"/>
      </w:pPr>
      <w:r>
        <w:rPr>
          <w:color w:val="404040"/>
          <w:sz w:val="20"/>
        </w:rPr>
        <w:t>Traditional time-series models have been the workhorse of macroeconomic forecasting for decades. ARIMA models, introduced by Box and Jenkins in the 1970s, remain widely used in central bank and academic forecasting. Vector autoregressions (VARs), developed by Sims (1980), allow multiple variables to be modelled jointly and remain standard tools in applied macroeconometrics.</w:t>
      </w:r>
    </w:p>
    <w:p>
      <w:pPr>
        <w:spacing w:after="120"/>
      </w:pPr>
      <w:r>
        <w:rPr>
          <w:color w:val="404040"/>
          <w:sz w:val="20"/>
        </w:rPr>
        <w:t>The rapid development of machine learning methods raises a practical question: given access to the same historical data — and in some cases considerably more of it — can modern computational approaches produce better forecasts than the models economists have refined over forty years? This project is designed to provide a direct, fair, and reproducible answer to that question.</w:t>
      </w:r>
    </w:p>
    <w:p>
      <w:pPr>
        <w:spacing w:before="400" w:after="100"/>
      </w:pPr>
      <w:r>
        <w:rPr>
          <w:b/>
          <w:color w:val="1F3964"/>
          <w:sz w:val="28"/>
        </w:rPr>
        <w:t>2. Research Question and Hypotheses</w:t>
      </w:r>
    </w:p>
    <w:p>
      <w:pPr>
        <w:spacing w:after="120"/>
      </w:pPr>
      <w:r>
        <w:rPr>
          <w:color w:val="404040"/>
          <w:sz w:val="20"/>
        </w:rPr>
        <w:t>The central research question is:</w:t>
      </w:r>
    </w:p>
    <w:p>
      <w:pPr>
        <w:spacing w:before="160" w:after="160"/>
        <w:ind w:left="648" w:right="648"/>
      </w:pPr>
      <w:r>
        <w:rPr>
          <w:i/>
          <w:color w:val="2E75B6"/>
          <w:sz w:val="21"/>
        </w:rPr>
        <w:t>Do traditional time-series models (ARIMA, VAR) outperform machine learning methods (Ridge, Lasso, Random Forest, XGBoost) in forecasting U.S. inflation and unemployment, or do ML methods gain an edge when given access to richer predictor sets and allowed to capture nonlinear dynamics?</w:t>
      </w:r>
    </w:p>
    <w:p>
      <w:pPr>
        <w:spacing w:after="120"/>
      </w:pPr>
      <w:r>
        <w:rPr>
          <w:color w:val="404040"/>
          <w:sz w:val="20"/>
        </w:rPr>
        <w:t>Three specific hypotheses are tested:</w:t>
      </w:r>
    </w:p>
    <w:p>
      <w:pPr>
        <w:pStyle w:val="ListBullet"/>
        <w:spacing w:after="60"/>
      </w:pPr>
      <w:r>
        <w:rPr>
          <w:b/>
          <w:color w:val="1F3964"/>
          <w:sz w:val="20"/>
        </w:rPr>
        <w:t xml:space="preserve">H1:  </w:t>
      </w:r>
      <w:r>
        <w:rPr>
          <w:color w:val="404040"/>
          <w:sz w:val="20"/>
        </w:rPr>
        <w:t>ML models will outperform classical models at longer horizons (h=3, h=6), where the informational advantage of additional predictors and nonlinear relationships becomes more valuable.</w:t>
      </w:r>
    </w:p>
    <w:p>
      <w:pPr>
        <w:pStyle w:val="ListBullet"/>
        <w:spacing w:after="60"/>
      </w:pPr>
      <w:r>
        <w:rPr>
          <w:b/>
          <w:color w:val="1F3964"/>
          <w:sz w:val="20"/>
        </w:rPr>
        <w:t xml:space="preserve">H2:  </w:t>
      </w:r>
      <w:r>
        <w:rPr>
          <w:color w:val="404040"/>
          <w:sz w:val="20"/>
        </w:rPr>
        <w:t>Classical models will remain competitive at the shortest horizon (h=1), where autocorrelation structure dominates and additional predictors offer limited marginal value.</w:t>
      </w:r>
    </w:p>
    <w:p>
      <w:pPr>
        <w:pStyle w:val="ListBullet"/>
        <w:spacing w:after="60"/>
      </w:pPr>
      <w:r>
        <w:rPr>
          <w:b/>
          <w:color w:val="1F3964"/>
          <w:sz w:val="20"/>
        </w:rPr>
        <w:t xml:space="preserve">H3:  </w:t>
      </w:r>
      <w:r>
        <w:rPr>
          <w:color w:val="404040"/>
          <w:sz w:val="20"/>
        </w:rPr>
        <w:t>Tree-based ML models will prove more robust to structural shocks than linear models — both classical and ML — because decision trees naturally contain extreme values rather than extrapolating them.</w:t>
      </w:r>
    </w:p>
    <w:p>
      <w:pPr>
        <w:spacing w:before="400" w:after="100"/>
      </w:pPr>
      <w:r>
        <w:rPr>
          <w:b/>
          <w:color w:val="1F3964"/>
          <w:sz w:val="28"/>
        </w:rPr>
        <w:t>3. Data</w:t>
      </w:r>
    </w:p>
    <w:p>
      <w:pPr>
        <w:spacing w:before="240" w:after="60"/>
      </w:pPr>
      <w:r>
        <w:rPr>
          <w:b/>
          <w:color w:val="2E75B6"/>
          <w:sz w:val="22"/>
        </w:rPr>
        <w:t>3.1 Sources</w:t>
      </w:r>
    </w:p>
    <w:p>
      <w:pPr>
        <w:spacing w:after="120"/>
      </w:pPr>
      <w:r>
        <w:rPr>
          <w:color w:val="404040"/>
          <w:sz w:val="20"/>
        </w:rPr>
        <w:t>All data were obtained from FRED (Federal Reserve Economic Data), the St. Louis Federal Reserve's public macroeconomic database, via the fredapi Python library. Eleven monthly series were pulled covering January 1990 through March 2026.</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448"/>
            <w:shd w:val="clear" w:color="auto" w:fill="1F3964"/>
          </w:tcPr>
          <w:p>
            <w:pPr>
              <w:jc w:val="center"/>
            </w:pPr>
            <w:r>
              <w:rPr>
                <w:b/>
                <w:color w:val="FFFFFF"/>
                <w:sz w:val="18"/>
              </w:rPr>
              <w:t>Variable</w:t>
            </w:r>
          </w:p>
        </w:tc>
        <w:tc>
          <w:tcPr>
            <w:tcW w:type="dxa" w:w="1728"/>
            <w:shd w:val="clear" w:color="auto" w:fill="1F3964"/>
          </w:tcPr>
          <w:p>
            <w:pPr>
              <w:jc w:val="center"/>
            </w:pPr>
            <w:r>
              <w:rPr>
                <w:b/>
                <w:color w:val="FFFFFF"/>
                <w:sz w:val="18"/>
              </w:rPr>
              <w:t>FRED Series ID</w:t>
            </w:r>
          </w:p>
        </w:tc>
        <w:tc>
          <w:tcPr>
            <w:tcW w:type="dxa" w:w="1872"/>
            <w:shd w:val="clear" w:color="auto" w:fill="1F3964"/>
          </w:tcPr>
          <w:p>
            <w:pPr>
              <w:jc w:val="center"/>
            </w:pPr>
            <w:r>
              <w:rPr>
                <w:b/>
                <w:color w:val="FFFFFF"/>
                <w:sz w:val="18"/>
              </w:rPr>
              <w:t>Transformation</w:t>
            </w:r>
          </w:p>
        </w:tc>
        <w:tc>
          <w:tcPr>
            <w:tcW w:type="dxa" w:w="2736"/>
            <w:shd w:val="clear" w:color="auto" w:fill="1F3964"/>
          </w:tcPr>
          <w:p>
            <w:pPr>
              <w:jc w:val="center"/>
            </w:pPr>
            <w:r>
              <w:rPr>
                <w:b/>
                <w:color w:val="FFFFFF"/>
                <w:sz w:val="18"/>
              </w:rPr>
              <w:t>Role</w:t>
            </w:r>
          </w:p>
        </w:tc>
      </w:tr>
      <w:tr>
        <w:tc>
          <w:tcPr>
            <w:tcW w:type="dxa" w:w="2448"/>
            <w:shd w:val="clear" w:color="auto" w:fill="F2F7FC"/>
          </w:tcPr>
          <w:p>
            <w:r>
              <w:rPr>
                <w:b/>
                <w:color w:val="404040"/>
                <w:sz w:val="18"/>
              </w:rPr>
              <w:t>CPI (All Items)</w:t>
            </w:r>
          </w:p>
        </w:tc>
        <w:tc>
          <w:tcPr>
            <w:tcW w:type="dxa" w:w="1728"/>
            <w:shd w:val="clear" w:color="auto" w:fill="F2F7FC"/>
          </w:tcPr>
          <w:p>
            <w:r>
              <w:rPr>
                <w:color w:val="404040"/>
                <w:sz w:val="18"/>
              </w:rPr>
              <w:t>CPIAUCSL</w:t>
            </w:r>
          </w:p>
        </w:tc>
        <w:tc>
          <w:tcPr>
            <w:tcW w:type="dxa" w:w="1872"/>
            <w:shd w:val="clear" w:color="auto" w:fill="F2F7FC"/>
          </w:tcPr>
          <w:p>
            <w:r>
              <w:rPr>
                <w:color w:val="404040"/>
                <w:sz w:val="18"/>
              </w:rPr>
              <w:t>YoY % change</w:t>
            </w:r>
          </w:p>
        </w:tc>
        <w:tc>
          <w:tcPr>
            <w:tcW w:type="dxa" w:w="2736"/>
            <w:shd w:val="clear" w:color="auto" w:fill="F2F7FC"/>
          </w:tcPr>
          <w:p>
            <w:r>
              <w:rPr>
                <w:color w:val="404040"/>
                <w:sz w:val="18"/>
              </w:rPr>
              <w:t>Primary forecast target</w:t>
            </w:r>
          </w:p>
        </w:tc>
      </w:tr>
      <w:tr>
        <w:tc>
          <w:tcPr>
            <w:tcW w:type="dxa" w:w="2448"/>
            <w:shd w:val="clear" w:color="auto" w:fill="FFFFFF"/>
          </w:tcPr>
          <w:p>
            <w:r>
              <w:rPr>
                <w:b/>
                <w:color w:val="404040"/>
                <w:sz w:val="18"/>
              </w:rPr>
              <w:t>Core CPI</w:t>
            </w:r>
          </w:p>
        </w:tc>
        <w:tc>
          <w:tcPr>
            <w:tcW w:type="dxa" w:w="1728"/>
            <w:shd w:val="clear" w:color="auto" w:fill="FFFFFF"/>
          </w:tcPr>
          <w:p>
            <w:r>
              <w:rPr>
                <w:color w:val="404040"/>
                <w:sz w:val="18"/>
              </w:rPr>
              <w:t>CPILFESL</w:t>
            </w:r>
          </w:p>
        </w:tc>
        <w:tc>
          <w:tcPr>
            <w:tcW w:type="dxa" w:w="1872"/>
            <w:shd w:val="clear" w:color="auto" w:fill="FFFFFF"/>
          </w:tcPr>
          <w:p>
            <w:r>
              <w:rPr>
                <w:color w:val="404040"/>
                <w:sz w:val="18"/>
              </w:rPr>
              <w:t>YoY % change</w:t>
            </w:r>
          </w:p>
        </w:tc>
        <w:tc>
          <w:tcPr>
            <w:tcW w:type="dxa" w:w="2736"/>
            <w:shd w:val="clear" w:color="auto" w:fill="FFFFFF"/>
          </w:tcPr>
          <w:p>
            <w:r>
              <w:rPr>
                <w:color w:val="404040"/>
                <w:sz w:val="18"/>
              </w:rPr>
              <w:t>Target &amp; predictor</w:t>
            </w:r>
          </w:p>
        </w:tc>
      </w:tr>
      <w:tr>
        <w:tc>
          <w:tcPr>
            <w:tcW w:type="dxa" w:w="2448"/>
            <w:shd w:val="clear" w:color="auto" w:fill="F2F7FC"/>
          </w:tcPr>
          <w:p>
            <w:r>
              <w:rPr>
                <w:b/>
                <w:color w:val="404040"/>
                <w:sz w:val="18"/>
              </w:rPr>
              <w:t>Unemployment Rate</w:t>
            </w:r>
          </w:p>
        </w:tc>
        <w:tc>
          <w:tcPr>
            <w:tcW w:type="dxa" w:w="1728"/>
            <w:shd w:val="clear" w:color="auto" w:fill="F2F7FC"/>
          </w:tcPr>
          <w:p>
            <w:r>
              <w:rPr>
                <w:color w:val="404040"/>
                <w:sz w:val="18"/>
              </w:rPr>
              <w:t>UNRATE</w:t>
            </w:r>
          </w:p>
        </w:tc>
        <w:tc>
          <w:tcPr>
            <w:tcW w:type="dxa" w:w="1872"/>
            <w:shd w:val="clear" w:color="auto" w:fill="F2F7FC"/>
          </w:tcPr>
          <w:p>
            <w:r>
              <w:rPr>
                <w:color w:val="404040"/>
                <w:sz w:val="18"/>
              </w:rPr>
              <w:t>Level</w:t>
            </w:r>
          </w:p>
        </w:tc>
        <w:tc>
          <w:tcPr>
            <w:tcW w:type="dxa" w:w="2736"/>
            <w:shd w:val="clear" w:color="auto" w:fill="F2F7FC"/>
          </w:tcPr>
          <w:p>
            <w:r>
              <w:rPr>
                <w:color w:val="404040"/>
                <w:sz w:val="18"/>
              </w:rPr>
              <w:t>Primary forecast target</w:t>
            </w:r>
          </w:p>
        </w:tc>
      </w:tr>
      <w:tr>
        <w:tc>
          <w:tcPr>
            <w:tcW w:type="dxa" w:w="2448"/>
            <w:shd w:val="clear" w:color="auto" w:fill="FFFFFF"/>
          </w:tcPr>
          <w:p>
            <w:r>
              <w:rPr>
                <w:b/>
                <w:color w:val="404040"/>
                <w:sz w:val="18"/>
              </w:rPr>
              <w:t>Federal Funds Rate</w:t>
            </w:r>
          </w:p>
        </w:tc>
        <w:tc>
          <w:tcPr>
            <w:tcW w:type="dxa" w:w="1728"/>
            <w:shd w:val="clear" w:color="auto" w:fill="FFFFFF"/>
          </w:tcPr>
          <w:p>
            <w:r>
              <w:rPr>
                <w:color w:val="404040"/>
                <w:sz w:val="18"/>
              </w:rPr>
              <w:t>FEDFUNDS</w:t>
            </w:r>
          </w:p>
        </w:tc>
        <w:tc>
          <w:tcPr>
            <w:tcW w:type="dxa" w:w="1872"/>
            <w:shd w:val="clear" w:color="auto" w:fill="FFFFFF"/>
          </w:tcPr>
          <w:p>
            <w:r>
              <w:rPr>
                <w:color w:val="404040"/>
                <w:sz w:val="18"/>
              </w:rPr>
              <w:t>Level</w:t>
            </w:r>
          </w:p>
        </w:tc>
        <w:tc>
          <w:tcPr>
            <w:tcW w:type="dxa" w:w="2736"/>
            <w:shd w:val="clear" w:color="auto" w:fill="FFFFFF"/>
          </w:tcPr>
          <w:p>
            <w:r>
              <w:rPr>
                <w:color w:val="404040"/>
                <w:sz w:val="18"/>
              </w:rPr>
              <w:t>Predictor</w:t>
            </w:r>
          </w:p>
        </w:tc>
      </w:tr>
      <w:tr>
        <w:tc>
          <w:tcPr>
            <w:tcW w:type="dxa" w:w="2448"/>
            <w:shd w:val="clear" w:color="auto" w:fill="F2F7FC"/>
          </w:tcPr>
          <w:p>
            <w:r>
              <w:rPr>
                <w:b/>
                <w:color w:val="404040"/>
                <w:sz w:val="18"/>
              </w:rPr>
              <w:t>10-Year Treasury</w:t>
            </w:r>
          </w:p>
        </w:tc>
        <w:tc>
          <w:tcPr>
            <w:tcW w:type="dxa" w:w="1728"/>
            <w:shd w:val="clear" w:color="auto" w:fill="F2F7FC"/>
          </w:tcPr>
          <w:p>
            <w:r>
              <w:rPr>
                <w:color w:val="404040"/>
                <w:sz w:val="18"/>
              </w:rPr>
              <w:t>GS10</w:t>
            </w:r>
          </w:p>
        </w:tc>
        <w:tc>
          <w:tcPr>
            <w:tcW w:type="dxa" w:w="1872"/>
            <w:shd w:val="clear" w:color="auto" w:fill="F2F7FC"/>
          </w:tcPr>
          <w:p>
            <w:r>
              <w:rPr>
                <w:color w:val="404040"/>
                <w:sz w:val="18"/>
              </w:rPr>
              <w:t>Level</w:t>
            </w:r>
          </w:p>
        </w:tc>
        <w:tc>
          <w:tcPr>
            <w:tcW w:type="dxa" w:w="2736"/>
            <w:shd w:val="clear" w:color="auto" w:fill="F2F7FC"/>
          </w:tcPr>
          <w:p>
            <w:r>
              <w:rPr>
                <w:color w:val="404040"/>
                <w:sz w:val="18"/>
              </w:rPr>
              <w:t>Predictor</w:t>
            </w:r>
          </w:p>
        </w:tc>
      </w:tr>
      <w:tr>
        <w:tc>
          <w:tcPr>
            <w:tcW w:type="dxa" w:w="2448"/>
            <w:shd w:val="clear" w:color="auto" w:fill="FFFFFF"/>
          </w:tcPr>
          <w:p>
            <w:r>
              <w:rPr>
                <w:b/>
                <w:color w:val="404040"/>
                <w:sz w:val="18"/>
              </w:rPr>
              <w:t>3-Month T-Bill</w:t>
            </w:r>
          </w:p>
        </w:tc>
        <w:tc>
          <w:tcPr>
            <w:tcW w:type="dxa" w:w="1728"/>
            <w:shd w:val="clear" w:color="auto" w:fill="FFFFFF"/>
          </w:tcPr>
          <w:p>
            <w:r>
              <w:rPr>
                <w:color w:val="404040"/>
                <w:sz w:val="18"/>
              </w:rPr>
              <w:t>TB3MS</w:t>
            </w:r>
          </w:p>
        </w:tc>
        <w:tc>
          <w:tcPr>
            <w:tcW w:type="dxa" w:w="1872"/>
            <w:shd w:val="clear" w:color="auto" w:fill="FFFFFF"/>
          </w:tcPr>
          <w:p>
            <w:r>
              <w:rPr>
                <w:color w:val="404040"/>
                <w:sz w:val="18"/>
              </w:rPr>
              <w:t>Level</w:t>
            </w:r>
          </w:p>
        </w:tc>
        <w:tc>
          <w:tcPr>
            <w:tcW w:type="dxa" w:w="2736"/>
            <w:shd w:val="clear" w:color="auto" w:fill="FFFFFF"/>
          </w:tcPr>
          <w:p>
            <w:r>
              <w:rPr>
                <w:color w:val="404040"/>
                <w:sz w:val="18"/>
              </w:rPr>
              <w:t>Predictor</w:t>
            </w:r>
          </w:p>
        </w:tc>
      </w:tr>
      <w:tr>
        <w:tc>
          <w:tcPr>
            <w:tcW w:type="dxa" w:w="2448"/>
            <w:shd w:val="clear" w:color="auto" w:fill="F2F7FC"/>
          </w:tcPr>
          <w:p>
            <w:r>
              <w:rPr>
                <w:b/>
                <w:color w:val="404040"/>
                <w:sz w:val="18"/>
              </w:rPr>
              <w:t>Yield Spread (10Y−3M)</w:t>
            </w:r>
          </w:p>
        </w:tc>
        <w:tc>
          <w:tcPr>
            <w:tcW w:type="dxa" w:w="1728"/>
            <w:shd w:val="clear" w:color="auto" w:fill="F2F7FC"/>
          </w:tcPr>
          <w:p>
            <w:r>
              <w:rPr>
                <w:color w:val="404040"/>
                <w:sz w:val="18"/>
              </w:rPr>
              <w:t>Derived</w:t>
            </w:r>
          </w:p>
        </w:tc>
        <w:tc>
          <w:tcPr>
            <w:tcW w:type="dxa" w:w="1872"/>
            <w:shd w:val="clear" w:color="auto" w:fill="F2F7FC"/>
          </w:tcPr>
          <w:p>
            <w:r>
              <w:rPr>
                <w:color w:val="404040"/>
                <w:sz w:val="18"/>
              </w:rPr>
              <w:t>Level</w:t>
            </w:r>
          </w:p>
        </w:tc>
        <w:tc>
          <w:tcPr>
            <w:tcW w:type="dxa" w:w="2736"/>
            <w:shd w:val="clear" w:color="auto" w:fill="F2F7FC"/>
          </w:tcPr>
          <w:p>
            <w:r>
              <w:rPr>
                <w:color w:val="404040"/>
                <w:sz w:val="18"/>
              </w:rPr>
              <w:t>Predictor</w:t>
            </w:r>
          </w:p>
        </w:tc>
      </w:tr>
      <w:tr>
        <w:tc>
          <w:tcPr>
            <w:tcW w:type="dxa" w:w="2448"/>
            <w:shd w:val="clear" w:color="auto" w:fill="FFFFFF"/>
          </w:tcPr>
          <w:p>
            <w:r>
              <w:rPr>
                <w:b/>
                <w:color w:val="404040"/>
                <w:sz w:val="18"/>
              </w:rPr>
              <w:t>Industrial Production</w:t>
            </w:r>
          </w:p>
        </w:tc>
        <w:tc>
          <w:tcPr>
            <w:tcW w:type="dxa" w:w="1728"/>
            <w:shd w:val="clear" w:color="auto" w:fill="FFFFFF"/>
          </w:tcPr>
          <w:p>
            <w:r>
              <w:rPr>
                <w:color w:val="404040"/>
                <w:sz w:val="18"/>
              </w:rPr>
              <w:t>INDPRO</w:t>
            </w:r>
          </w:p>
        </w:tc>
        <w:tc>
          <w:tcPr>
            <w:tcW w:type="dxa" w:w="1872"/>
            <w:shd w:val="clear" w:color="auto" w:fill="FFFFFF"/>
          </w:tcPr>
          <w:p>
            <w:r>
              <w:rPr>
                <w:color w:val="404040"/>
                <w:sz w:val="18"/>
              </w:rPr>
              <w:t>MoM % change</w:t>
            </w:r>
          </w:p>
        </w:tc>
        <w:tc>
          <w:tcPr>
            <w:tcW w:type="dxa" w:w="2736"/>
            <w:shd w:val="clear" w:color="auto" w:fill="FFFFFF"/>
          </w:tcPr>
          <w:p>
            <w:r>
              <w:rPr>
                <w:color w:val="404040"/>
                <w:sz w:val="18"/>
              </w:rPr>
              <w:t>Predictor</w:t>
            </w:r>
          </w:p>
        </w:tc>
      </w:tr>
      <w:tr>
        <w:tc>
          <w:tcPr>
            <w:tcW w:type="dxa" w:w="2448"/>
            <w:shd w:val="clear" w:color="auto" w:fill="F2F7FC"/>
          </w:tcPr>
          <w:p>
            <w:r>
              <w:rPr>
                <w:b/>
                <w:color w:val="404040"/>
                <w:sz w:val="18"/>
              </w:rPr>
              <w:t>Nonfarm Payrolls</w:t>
            </w:r>
          </w:p>
        </w:tc>
        <w:tc>
          <w:tcPr>
            <w:tcW w:type="dxa" w:w="1728"/>
            <w:shd w:val="clear" w:color="auto" w:fill="F2F7FC"/>
          </w:tcPr>
          <w:p>
            <w:r>
              <w:rPr>
                <w:color w:val="404040"/>
                <w:sz w:val="18"/>
              </w:rPr>
              <w:t>PAYEMS</w:t>
            </w:r>
          </w:p>
        </w:tc>
        <w:tc>
          <w:tcPr>
            <w:tcW w:type="dxa" w:w="1872"/>
            <w:shd w:val="clear" w:color="auto" w:fill="F2F7FC"/>
          </w:tcPr>
          <w:p>
            <w:r>
              <w:rPr>
                <w:color w:val="404040"/>
                <w:sz w:val="18"/>
              </w:rPr>
              <w:t>MoM % change</w:t>
            </w:r>
          </w:p>
        </w:tc>
        <w:tc>
          <w:tcPr>
            <w:tcW w:type="dxa" w:w="2736"/>
            <w:shd w:val="clear" w:color="auto" w:fill="F2F7FC"/>
          </w:tcPr>
          <w:p>
            <w:r>
              <w:rPr>
                <w:color w:val="404040"/>
                <w:sz w:val="18"/>
              </w:rPr>
              <w:t>Predictor</w:t>
            </w:r>
          </w:p>
        </w:tc>
      </w:tr>
      <w:tr>
        <w:tc>
          <w:tcPr>
            <w:tcW w:type="dxa" w:w="2448"/>
            <w:shd w:val="clear" w:color="auto" w:fill="FFFFFF"/>
          </w:tcPr>
          <w:p>
            <w:r>
              <w:rPr>
                <w:b/>
                <w:color w:val="404040"/>
                <w:sz w:val="18"/>
              </w:rPr>
              <w:t>Oil Prices (WTI)</w:t>
            </w:r>
          </w:p>
        </w:tc>
        <w:tc>
          <w:tcPr>
            <w:tcW w:type="dxa" w:w="1728"/>
            <w:shd w:val="clear" w:color="auto" w:fill="FFFFFF"/>
          </w:tcPr>
          <w:p>
            <w:r>
              <w:rPr>
                <w:color w:val="404040"/>
                <w:sz w:val="18"/>
              </w:rPr>
              <w:t>DCOILWTICO</w:t>
            </w:r>
          </w:p>
        </w:tc>
        <w:tc>
          <w:tcPr>
            <w:tcW w:type="dxa" w:w="1872"/>
            <w:shd w:val="clear" w:color="auto" w:fill="FFFFFF"/>
          </w:tcPr>
          <w:p>
            <w:r>
              <w:rPr>
                <w:color w:val="404040"/>
                <w:sz w:val="18"/>
              </w:rPr>
              <w:t>MoM % change</w:t>
            </w:r>
          </w:p>
        </w:tc>
        <w:tc>
          <w:tcPr>
            <w:tcW w:type="dxa" w:w="2736"/>
            <w:shd w:val="clear" w:color="auto" w:fill="FFFFFF"/>
          </w:tcPr>
          <w:p>
            <w:r>
              <w:rPr>
                <w:color w:val="404040"/>
                <w:sz w:val="18"/>
              </w:rPr>
              <w:t>Predictor</w:t>
            </w:r>
          </w:p>
        </w:tc>
      </w:tr>
      <w:tr>
        <w:tc>
          <w:tcPr>
            <w:tcW w:type="dxa" w:w="2448"/>
            <w:shd w:val="clear" w:color="auto" w:fill="F2F7FC"/>
          </w:tcPr>
          <w:p>
            <w:r>
              <w:rPr>
                <w:b/>
                <w:color w:val="404040"/>
                <w:sz w:val="18"/>
              </w:rPr>
              <w:t>Consumer Sentiment</w:t>
            </w:r>
          </w:p>
        </w:tc>
        <w:tc>
          <w:tcPr>
            <w:tcW w:type="dxa" w:w="1728"/>
            <w:shd w:val="clear" w:color="auto" w:fill="F2F7FC"/>
          </w:tcPr>
          <w:p>
            <w:r>
              <w:rPr>
                <w:color w:val="404040"/>
                <w:sz w:val="18"/>
              </w:rPr>
              <w:t>UMCSENT</w:t>
            </w:r>
          </w:p>
        </w:tc>
        <w:tc>
          <w:tcPr>
            <w:tcW w:type="dxa" w:w="1872"/>
            <w:shd w:val="clear" w:color="auto" w:fill="F2F7FC"/>
          </w:tcPr>
          <w:p>
            <w:r>
              <w:rPr>
                <w:color w:val="404040"/>
                <w:sz w:val="18"/>
              </w:rPr>
              <w:t>Level</w:t>
            </w:r>
          </w:p>
        </w:tc>
        <w:tc>
          <w:tcPr>
            <w:tcW w:type="dxa" w:w="2736"/>
            <w:shd w:val="clear" w:color="auto" w:fill="F2F7FC"/>
          </w:tcPr>
          <w:p>
            <w:r>
              <w:rPr>
                <w:color w:val="404040"/>
                <w:sz w:val="18"/>
              </w:rPr>
              <w:t>Predictor</w:t>
            </w:r>
          </w:p>
        </w:tc>
      </w:tr>
      <w:tr>
        <w:tc>
          <w:tcPr>
            <w:tcW w:type="dxa" w:w="2448"/>
            <w:shd w:val="clear" w:color="auto" w:fill="FFFFFF"/>
          </w:tcPr>
          <w:p>
            <w:r>
              <w:rPr>
                <w:b/>
                <w:color w:val="404040"/>
                <w:sz w:val="18"/>
              </w:rPr>
              <w:t>M2 Money Supply</w:t>
            </w:r>
          </w:p>
        </w:tc>
        <w:tc>
          <w:tcPr>
            <w:tcW w:type="dxa" w:w="1728"/>
            <w:shd w:val="clear" w:color="auto" w:fill="FFFFFF"/>
          </w:tcPr>
          <w:p>
            <w:r>
              <w:rPr>
                <w:color w:val="404040"/>
                <w:sz w:val="18"/>
              </w:rPr>
              <w:t>M2SL</w:t>
            </w:r>
          </w:p>
        </w:tc>
        <w:tc>
          <w:tcPr>
            <w:tcW w:type="dxa" w:w="1872"/>
            <w:shd w:val="clear" w:color="auto" w:fill="FFFFFF"/>
          </w:tcPr>
          <w:p>
            <w:r>
              <w:rPr>
                <w:color w:val="404040"/>
                <w:sz w:val="18"/>
              </w:rPr>
              <w:t>MoM % change</w:t>
            </w:r>
          </w:p>
        </w:tc>
        <w:tc>
          <w:tcPr>
            <w:tcW w:type="dxa" w:w="2736"/>
            <w:shd w:val="clear" w:color="auto" w:fill="FFFFFF"/>
          </w:tcPr>
          <w:p>
            <w:r>
              <w:rPr>
                <w:color w:val="404040"/>
                <w:sz w:val="18"/>
              </w:rPr>
              <w:t>Predictor</w:t>
            </w:r>
          </w:p>
        </w:tc>
      </w:tr>
    </w:tbl>
    <w:p>
      <w:pPr>
        <w:spacing w:before="240" w:after="60"/>
      </w:pPr>
      <w:r>
        <w:rPr>
          <w:b/>
          <w:color w:val="2E75B6"/>
          <w:sz w:val="22"/>
        </w:rPr>
        <w:t>3.2 Transformations</w:t>
      </w:r>
    </w:p>
    <w:p>
      <w:pPr>
        <w:spacing w:after="120"/>
      </w:pPr>
      <w:r>
        <w:rPr>
          <w:color w:val="404040"/>
          <w:sz w:val="20"/>
        </w:rPr>
        <w:t>CPI and Core CPI are expressed as year-over-year percentage changes — the standard representation used by the Federal Reserve and financial press. This transformation removes the unit-root non-stationarity of price levels and produces a series interpretable directly in percentage-point terms. Flow variables (industrial production, payrolls, oil, M2) are expressed as month-over-month percentage changes. Interest rate levels are retained in level form, as they are already stationary over most of the sample.</w:t>
      </w:r>
    </w:p>
    <w:p>
      <w:pPr>
        <w:spacing w:after="120"/>
      </w:pPr>
      <w:r>
        <w:rPr>
          <w:color w:val="404040"/>
          <w:sz w:val="20"/>
        </w:rPr>
        <w:t>After transformation, the processed dataset contains 421 monthly observations spanning January 1991 through February 2026. The 12-month lag required for year-over-year inflation computation accounts for the reduction from the 435-row raw pull.</w:t>
      </w:r>
    </w:p>
    <w:p>
      <w:pPr>
        <w:spacing w:before="240" w:after="60"/>
      </w:pPr>
      <w:r>
        <w:rPr>
          <w:b/>
          <w:color w:val="2E75B6"/>
          <w:sz w:val="22"/>
        </w:rPr>
        <w:t>3.3 Feature Engineering for ML Models</w:t>
      </w:r>
    </w:p>
    <w:p>
      <w:pPr>
        <w:spacing w:after="120"/>
      </w:pPr>
      <w:r>
        <w:rPr>
          <w:color w:val="404040"/>
          <w:sz w:val="20"/>
        </w:rPr>
        <w:t>Machine learning models were given access to the current value and six monthly lags of all 12 processed variables, producing a feature matrix of 84 columns per observation. Lag alignment was performed carefully to prevent data leakage: for an h-step-ahead forecast at time t, the target variable is the realised value at t+h, and features are constructed from observations available at or before time t.</w:t>
      </w:r>
    </w:p>
    <w:p>
      <w:pPr>
        <w:spacing w:before="240" w:after="60"/>
      </w:pPr>
      <w:r>
        <w:rPr>
          <w:b/>
          <w:color w:val="2E75B6"/>
          <w:sz w:val="22"/>
        </w:rPr>
        <w:t>3.4 Key Descriptive Statistics</w:t>
      </w:r>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3024"/>
            <w:shd w:val="clear" w:color="auto" w:fill="1F3964"/>
          </w:tcPr>
          <w:p>
            <w:pPr>
              <w:jc w:val="center"/>
            </w:pPr>
            <w:r>
              <w:rPr>
                <w:b/>
                <w:color w:val="FFFFFF"/>
                <w:sz w:val="18"/>
              </w:rPr>
              <w:t>Variable</w:t>
            </w:r>
          </w:p>
        </w:tc>
        <w:tc>
          <w:tcPr>
            <w:tcW w:type="dxa" w:w="1008"/>
            <w:shd w:val="clear" w:color="auto" w:fill="1F3964"/>
          </w:tcPr>
          <w:p>
            <w:pPr>
              <w:jc w:val="center"/>
            </w:pPr>
            <w:r>
              <w:rPr>
                <w:b/>
                <w:color w:val="FFFFFF"/>
                <w:sz w:val="18"/>
              </w:rPr>
              <w:t>Mean</w:t>
            </w:r>
          </w:p>
        </w:tc>
        <w:tc>
          <w:tcPr>
            <w:tcW w:type="dxa" w:w="1152"/>
            <w:shd w:val="clear" w:color="auto" w:fill="1F3964"/>
          </w:tcPr>
          <w:p>
            <w:pPr>
              <w:jc w:val="center"/>
            </w:pPr>
            <w:r>
              <w:rPr>
                <w:b/>
                <w:color w:val="FFFFFF"/>
                <w:sz w:val="18"/>
              </w:rPr>
              <w:t>Std Dev</w:t>
            </w:r>
          </w:p>
        </w:tc>
        <w:tc>
          <w:tcPr>
            <w:tcW w:type="dxa" w:w="1008"/>
            <w:shd w:val="clear" w:color="auto" w:fill="1F3964"/>
          </w:tcPr>
          <w:p>
            <w:pPr>
              <w:jc w:val="center"/>
            </w:pPr>
            <w:r>
              <w:rPr>
                <w:b/>
                <w:color w:val="FFFFFF"/>
                <w:sz w:val="18"/>
              </w:rPr>
              <w:t>Min</w:t>
            </w:r>
          </w:p>
        </w:tc>
        <w:tc>
          <w:tcPr>
            <w:tcW w:type="dxa" w:w="1008"/>
            <w:shd w:val="clear" w:color="auto" w:fill="1F3964"/>
          </w:tcPr>
          <w:p>
            <w:pPr>
              <w:jc w:val="center"/>
            </w:pPr>
            <w:r>
              <w:rPr>
                <w:b/>
                <w:color w:val="FFFFFF"/>
                <w:sz w:val="18"/>
              </w:rPr>
              <w:t>Max</w:t>
            </w:r>
          </w:p>
        </w:tc>
        <w:tc>
          <w:tcPr>
            <w:tcW w:type="dxa" w:w="3024"/>
            <w:shd w:val="clear" w:color="auto" w:fill="1F3964"/>
          </w:tcPr>
          <w:p>
            <w:pPr>
              <w:jc w:val="center"/>
            </w:pPr>
            <w:r>
              <w:rPr>
                <w:b/>
                <w:color w:val="FFFFFF"/>
                <w:sz w:val="18"/>
              </w:rPr>
              <w:t>Key Event</w:t>
            </w:r>
          </w:p>
        </w:tc>
      </w:tr>
      <w:tr>
        <w:tc>
          <w:tcPr>
            <w:tcW w:type="dxa" w:w="3024"/>
            <w:shd w:val="clear" w:color="auto" w:fill="F2F7FC"/>
          </w:tcPr>
          <w:p>
            <w:r>
              <w:rPr>
                <w:b/>
                <w:color w:val="404040"/>
                <w:sz w:val="18"/>
              </w:rPr>
              <w:t>CPI Inflation (YoY %)</w:t>
            </w:r>
          </w:p>
        </w:tc>
        <w:tc>
          <w:tcPr>
            <w:tcW w:type="dxa" w:w="1008"/>
            <w:shd w:val="clear" w:color="auto" w:fill="F2F7FC"/>
          </w:tcPr>
          <w:p>
            <w:r>
              <w:rPr>
                <w:color w:val="404040"/>
                <w:sz w:val="18"/>
              </w:rPr>
              <w:t>2.62</w:t>
            </w:r>
          </w:p>
        </w:tc>
        <w:tc>
          <w:tcPr>
            <w:tcW w:type="dxa" w:w="1152"/>
            <w:shd w:val="clear" w:color="auto" w:fill="F2F7FC"/>
          </w:tcPr>
          <w:p>
            <w:r>
              <w:rPr>
                <w:color w:val="404040"/>
                <w:sz w:val="18"/>
              </w:rPr>
              <w:t>1.54</w:t>
            </w:r>
          </w:p>
        </w:tc>
        <w:tc>
          <w:tcPr>
            <w:tcW w:type="dxa" w:w="1008"/>
            <w:shd w:val="clear" w:color="auto" w:fill="F2F7FC"/>
          </w:tcPr>
          <w:p>
            <w:r>
              <w:rPr>
                <w:color w:val="404040"/>
                <w:sz w:val="18"/>
              </w:rPr>
              <w:t>−1.96</w:t>
            </w:r>
          </w:p>
        </w:tc>
        <w:tc>
          <w:tcPr>
            <w:tcW w:type="dxa" w:w="1008"/>
            <w:shd w:val="clear" w:color="auto" w:fill="F2F7FC"/>
          </w:tcPr>
          <w:p>
            <w:r>
              <w:rPr>
                <w:color w:val="404040"/>
                <w:sz w:val="18"/>
              </w:rPr>
              <w:t>8.98</w:t>
            </w:r>
          </w:p>
        </w:tc>
        <w:tc>
          <w:tcPr>
            <w:tcW w:type="dxa" w:w="3024"/>
            <w:shd w:val="clear" w:color="auto" w:fill="F2F7FC"/>
          </w:tcPr>
          <w:p>
            <w:r>
              <w:rPr>
                <w:color w:val="404040"/>
                <w:sz w:val="18"/>
              </w:rPr>
              <w:t>Peak: Jun 2022 (+9.0%)</w:t>
            </w:r>
          </w:p>
        </w:tc>
      </w:tr>
      <w:tr>
        <w:tc>
          <w:tcPr>
            <w:tcW w:type="dxa" w:w="3024"/>
            <w:shd w:val="clear" w:color="auto" w:fill="FFFFFF"/>
          </w:tcPr>
          <w:p>
            <w:r>
              <w:rPr>
                <w:b/>
                <w:color w:val="404040"/>
                <w:sz w:val="18"/>
              </w:rPr>
              <w:t>Unemployment Rate (%)</w:t>
            </w:r>
          </w:p>
        </w:tc>
        <w:tc>
          <w:tcPr>
            <w:tcW w:type="dxa" w:w="1008"/>
            <w:shd w:val="clear" w:color="auto" w:fill="FFFFFF"/>
          </w:tcPr>
          <w:p>
            <w:r>
              <w:rPr>
                <w:color w:val="404040"/>
                <w:sz w:val="18"/>
              </w:rPr>
              <w:t>5.67</w:t>
            </w:r>
          </w:p>
        </w:tc>
        <w:tc>
          <w:tcPr>
            <w:tcW w:type="dxa" w:w="1152"/>
            <w:shd w:val="clear" w:color="auto" w:fill="FFFFFF"/>
          </w:tcPr>
          <w:p>
            <w:r>
              <w:rPr>
                <w:color w:val="404040"/>
                <w:sz w:val="18"/>
              </w:rPr>
              <w:t>1.76</w:t>
            </w:r>
          </w:p>
        </w:tc>
        <w:tc>
          <w:tcPr>
            <w:tcW w:type="dxa" w:w="1008"/>
            <w:shd w:val="clear" w:color="auto" w:fill="FFFFFF"/>
          </w:tcPr>
          <w:p>
            <w:r>
              <w:rPr>
                <w:color w:val="404040"/>
                <w:sz w:val="18"/>
              </w:rPr>
              <w:t>3.40</w:t>
            </w:r>
          </w:p>
        </w:tc>
        <w:tc>
          <w:tcPr>
            <w:tcW w:type="dxa" w:w="1008"/>
            <w:shd w:val="clear" w:color="auto" w:fill="FFFFFF"/>
          </w:tcPr>
          <w:p>
            <w:r>
              <w:rPr>
                <w:color w:val="404040"/>
                <w:sz w:val="18"/>
              </w:rPr>
              <w:t>14.80</w:t>
            </w:r>
          </w:p>
        </w:tc>
        <w:tc>
          <w:tcPr>
            <w:tcW w:type="dxa" w:w="3024"/>
            <w:shd w:val="clear" w:color="auto" w:fill="FFFFFF"/>
          </w:tcPr>
          <w:p>
            <w:r>
              <w:rPr>
                <w:color w:val="404040"/>
                <w:sz w:val="18"/>
              </w:rPr>
              <w:t>Peak: Apr 2020 (+14.8%)</w:t>
            </w:r>
          </w:p>
        </w:tc>
      </w:tr>
      <w:tr>
        <w:tc>
          <w:tcPr>
            <w:tcW w:type="dxa" w:w="3024"/>
            <w:shd w:val="clear" w:color="auto" w:fill="F2F7FC"/>
          </w:tcPr>
          <w:p>
            <w:r>
              <w:rPr>
                <w:b/>
                <w:color w:val="404040"/>
                <w:sz w:val="18"/>
              </w:rPr>
              <w:t>Federal Funds Rate (%)</w:t>
            </w:r>
          </w:p>
        </w:tc>
        <w:tc>
          <w:tcPr>
            <w:tcW w:type="dxa" w:w="1008"/>
            <w:shd w:val="clear" w:color="auto" w:fill="F2F7FC"/>
          </w:tcPr>
          <w:p>
            <w:r>
              <w:rPr>
                <w:color w:val="404040"/>
                <w:sz w:val="18"/>
              </w:rPr>
              <w:t>2.42</w:t>
            </w:r>
          </w:p>
        </w:tc>
        <w:tc>
          <w:tcPr>
            <w:tcW w:type="dxa" w:w="1152"/>
            <w:shd w:val="clear" w:color="auto" w:fill="F2F7FC"/>
          </w:tcPr>
          <w:p>
            <w:r>
              <w:rPr>
                <w:color w:val="404040"/>
                <w:sz w:val="18"/>
              </w:rPr>
              <w:t>2.16</w:t>
            </w:r>
          </w:p>
        </w:tc>
        <w:tc>
          <w:tcPr>
            <w:tcW w:type="dxa" w:w="1008"/>
            <w:shd w:val="clear" w:color="auto" w:fill="F2F7FC"/>
          </w:tcPr>
          <w:p>
            <w:r>
              <w:rPr>
                <w:color w:val="404040"/>
                <w:sz w:val="18"/>
              </w:rPr>
              <w:t>0.07</w:t>
            </w:r>
          </w:p>
        </w:tc>
        <w:tc>
          <w:tcPr>
            <w:tcW w:type="dxa" w:w="1008"/>
            <w:shd w:val="clear" w:color="auto" w:fill="F2F7FC"/>
          </w:tcPr>
          <w:p>
            <w:r>
              <w:rPr>
                <w:color w:val="404040"/>
                <w:sz w:val="18"/>
              </w:rPr>
              <w:t>6.54</w:t>
            </w:r>
          </w:p>
        </w:tc>
        <w:tc>
          <w:tcPr>
            <w:tcW w:type="dxa" w:w="3024"/>
            <w:shd w:val="clear" w:color="auto" w:fill="F2F7FC"/>
          </w:tcPr>
          <w:p>
            <w:r>
              <w:rPr>
                <w:color w:val="404040"/>
                <w:sz w:val="18"/>
              </w:rPr>
              <w:t>Near-zero: 2009–2015, 2020–2022</w:t>
            </w:r>
          </w:p>
        </w:tc>
      </w:tr>
      <w:tr>
        <w:tc>
          <w:tcPr>
            <w:tcW w:type="dxa" w:w="3024"/>
            <w:shd w:val="clear" w:color="auto" w:fill="FFFFFF"/>
          </w:tcPr>
          <w:p>
            <w:r>
              <w:rPr>
                <w:b/>
                <w:color w:val="404040"/>
                <w:sz w:val="18"/>
              </w:rPr>
              <w:t>Oil MoM % Change</w:t>
            </w:r>
          </w:p>
        </w:tc>
        <w:tc>
          <w:tcPr>
            <w:tcW w:type="dxa" w:w="1008"/>
            <w:shd w:val="clear" w:color="auto" w:fill="FFFFFF"/>
          </w:tcPr>
          <w:p>
            <w:r>
              <w:rPr>
                <w:color w:val="404040"/>
                <w:sz w:val="18"/>
              </w:rPr>
              <w:t>0.72</w:t>
            </w:r>
          </w:p>
        </w:tc>
        <w:tc>
          <w:tcPr>
            <w:tcW w:type="dxa" w:w="1152"/>
            <w:shd w:val="clear" w:color="auto" w:fill="FFFFFF"/>
          </w:tcPr>
          <w:p>
            <w:r>
              <w:rPr>
                <w:color w:val="404040"/>
                <w:sz w:val="18"/>
              </w:rPr>
              <w:t>10.14</w:t>
            </w:r>
          </w:p>
        </w:tc>
        <w:tc>
          <w:tcPr>
            <w:tcW w:type="dxa" w:w="1008"/>
            <w:shd w:val="clear" w:color="auto" w:fill="FFFFFF"/>
          </w:tcPr>
          <w:p>
            <w:r>
              <w:rPr>
                <w:color w:val="404040"/>
                <w:sz w:val="18"/>
              </w:rPr>
              <w:t>−54.2</w:t>
            </w:r>
          </w:p>
        </w:tc>
        <w:tc>
          <w:tcPr>
            <w:tcW w:type="dxa" w:w="1008"/>
            <w:shd w:val="clear" w:color="auto" w:fill="FFFFFF"/>
          </w:tcPr>
          <w:p>
            <w:r>
              <w:rPr>
                <w:color w:val="404040"/>
                <w:sz w:val="18"/>
              </w:rPr>
              <w:t>85.0</w:t>
            </w:r>
          </w:p>
        </w:tc>
        <w:tc>
          <w:tcPr>
            <w:tcW w:type="dxa" w:w="3024"/>
            <w:shd w:val="clear" w:color="auto" w:fill="FFFFFF"/>
          </w:tcPr>
          <w:p>
            <w:r>
              <w:rPr>
                <w:color w:val="404040"/>
                <w:sz w:val="18"/>
              </w:rPr>
              <w:t>Crash: Apr 2020 (−54.2%)</w:t>
            </w:r>
          </w:p>
        </w:tc>
      </w:tr>
    </w:tbl>
    <w:p>
      <w:pPr>
        <w:spacing w:before="400" w:after="100"/>
      </w:pPr>
      <w:r>
        <w:rPr>
          <w:b/>
          <w:color w:val="1F3964"/>
          <w:sz w:val="28"/>
        </w:rPr>
        <w:t>4. Methods</w:t>
      </w:r>
    </w:p>
    <w:p>
      <w:pPr>
        <w:spacing w:before="240" w:after="60"/>
      </w:pPr>
      <w:r>
        <w:rPr>
          <w:b/>
          <w:color w:val="2E75B6"/>
          <w:sz w:val="22"/>
        </w:rPr>
        <w:t>4.1 Naive Benchmark</w:t>
      </w:r>
    </w:p>
    <w:p>
      <w:pPr>
        <w:spacing w:after="120"/>
      </w:pPr>
      <w:r>
        <w:rPr>
          <w:color w:val="404040"/>
          <w:sz w:val="20"/>
        </w:rPr>
        <w:t>The naive model predicts that the next observation equals the current observation — a random walk without drift. It serves as the minimum performance bar. In macroeconomic forecasting literature, the naive benchmark is notoriously difficult to beat at short horizons, making it an appropriate and stringent baseline.</w:t>
      </w:r>
    </w:p>
    <w:p>
      <w:pPr>
        <w:spacing w:before="240" w:after="60"/>
      </w:pPr>
      <w:r>
        <w:rPr>
          <w:b/>
          <w:color w:val="2E75B6"/>
          <w:sz w:val="22"/>
        </w:rPr>
        <w:t>4.2 ARIMA</w:t>
      </w:r>
    </w:p>
    <w:p>
      <w:pPr>
        <w:spacing w:after="120"/>
      </w:pPr>
      <w:r>
        <w:rPr>
          <w:color w:val="404040"/>
          <w:sz w:val="20"/>
        </w:rPr>
        <w:t>ARIMA (AutoRegressive Integrated Moving Average) models were estimated separately for each target variable. Lag orders (p, d, q) were selected at each expanding-window step by minimising the Akaike Information Criterion (AIC) over a grid of p ∈ {0,1,2}, d ∈ {0,1}, q ∈ {0,1,2}. To avoid the computational cost of running this 18-combination grid search for every forecast horizon, the optimal order was cached once per training window and reused across all horizons. Models were estimated using the SARIMAX implementation in statsmodels 0.14.</w:t>
      </w:r>
    </w:p>
    <w:p>
      <w:pPr>
        <w:spacing w:before="240" w:after="60"/>
      </w:pPr>
      <w:r>
        <w:rPr>
          <w:b/>
          <w:color w:val="2E75B6"/>
          <w:sz w:val="22"/>
        </w:rPr>
        <w:t>4.3 VAR</w:t>
      </w:r>
    </w:p>
    <w:p>
      <w:pPr>
        <w:spacing w:after="120"/>
      </w:pPr>
      <w:r>
        <w:rPr>
          <w:color w:val="404040"/>
          <w:sz w:val="20"/>
        </w:rPr>
        <w:t>A bivariate Vector Autoregression was estimated jointly on inflation and unemployment. Lag length was selected by AIC up to a maximum of six lags. VAR allows the joint dynamics between the two target variables to inform forecasts of each — in principle capturing the Phillips Curve relationship and cross-variable spillovers.</w:t>
      </w:r>
    </w:p>
    <w:p>
      <w:pPr>
        <w:spacing w:before="240" w:after="60"/>
      </w:pPr>
      <w:r>
        <w:rPr>
          <w:b/>
          <w:color w:val="2E75B6"/>
          <w:sz w:val="22"/>
        </w:rPr>
        <w:t>4.4 Ridge Regression</w:t>
      </w:r>
    </w:p>
    <w:p>
      <w:pPr>
        <w:spacing w:after="120"/>
      </w:pPr>
      <w:r>
        <w:rPr>
          <w:color w:val="404040"/>
          <w:sz w:val="20"/>
        </w:rPr>
        <w:t>Ridge regression applies L2 regularisation to ordinary least squares, shrinking coefficient estimates toward zero to prevent overfitting in the 84-feature setting. A regularisation penalty of α = 1.0 was used, applied to standardised features. Ridge retains all predictors but reduces the influence of weaker ones.</w:t>
      </w:r>
    </w:p>
    <w:p>
      <w:pPr>
        <w:spacing w:before="240" w:after="60"/>
      </w:pPr>
      <w:r>
        <w:rPr>
          <w:b/>
          <w:color w:val="2E75B6"/>
          <w:sz w:val="22"/>
        </w:rPr>
        <w:t>4.5 Lasso Regression</w:t>
      </w:r>
    </w:p>
    <w:p>
      <w:pPr>
        <w:spacing w:after="120"/>
      </w:pPr>
      <w:r>
        <w:rPr>
          <w:color w:val="404040"/>
          <w:sz w:val="20"/>
        </w:rPr>
        <w:t>Lasso applies L1 regularisation, which has the additional property of setting weak predictor coefficients exactly to zero — performing automatic variable selection. A penalty of α = 0.01 was used. In a 84-predictor setting, Lasso's ability to identify and discard irrelevant lags is a meaningful structural advantage.</w:t>
      </w:r>
    </w:p>
    <w:p>
      <w:pPr>
        <w:spacing w:before="240" w:after="60"/>
      </w:pPr>
      <w:r>
        <w:rPr>
          <w:b/>
          <w:color w:val="2E75B6"/>
          <w:sz w:val="22"/>
        </w:rPr>
        <w:t>4.6 Random Forest</w:t>
      </w:r>
    </w:p>
    <w:p>
      <w:pPr>
        <w:spacing w:after="120"/>
      </w:pPr>
      <w:r>
        <w:rPr>
          <w:color w:val="404040"/>
          <w:sz w:val="20"/>
        </w:rPr>
        <w:t>Random Forest fits an ensemble of 100 decision trees on bootstrap samples of the training data, with random feature subsets considered at each split. The ensemble average reduces variance relative to any individual tree. Key hyperparameters: max_depth = 5, min_samples_leaf = 5. Random Forest is inherently robust to outliers because individual trees produce bounded predictions.</w:t>
      </w:r>
    </w:p>
    <w:p>
      <w:pPr>
        <w:spacing w:before="240" w:after="60"/>
      </w:pPr>
      <w:r>
        <w:rPr>
          <w:b/>
          <w:color w:val="2E75B6"/>
          <w:sz w:val="22"/>
        </w:rPr>
        <w:t>4.7 XGBoost</w:t>
      </w:r>
    </w:p>
    <w:p>
      <w:pPr>
        <w:spacing w:after="120"/>
      </w:pPr>
      <w:r>
        <w:rPr>
          <w:color w:val="404040"/>
          <w:sz w:val="20"/>
        </w:rPr>
        <w:t>XGBoost implements gradient boosting: an ensemble of 150 decision trees fitted sequentially, where each tree targets the residuals of all previous trees. This approach can achieve very low bias while controlling variance through regularisation and tree depth constraints. Hyperparameters: learning_rate = 0.05, max_depth = 4, subsample = 0.8, colsample_bytree = 0.8. XGBoost is the current state-of-the-art for tabular forecasting in applied competitions and industry.</w:t>
      </w:r>
    </w:p>
    <w:p>
      <w:pPr>
        <w:spacing w:before="400" w:after="100"/>
      </w:pPr>
      <w:r>
        <w:rPr>
          <w:b/>
          <w:color w:val="1F3964"/>
          <w:sz w:val="28"/>
        </w:rPr>
        <w:t>5. Evaluation Framework</w:t>
      </w:r>
    </w:p>
    <w:p>
      <w:pPr>
        <w:spacing w:before="240" w:after="60"/>
      </w:pPr>
      <w:r>
        <w:rPr>
          <w:b/>
          <w:color w:val="2E75B6"/>
          <w:sz w:val="22"/>
        </w:rPr>
        <w:t>5.1 Expanding-Window Backtesting</w:t>
      </w:r>
    </w:p>
    <w:p>
      <w:pPr>
        <w:spacing w:after="120"/>
      </w:pPr>
      <w:r>
        <w:rPr>
          <w:color w:val="404040"/>
          <w:sz w:val="20"/>
        </w:rPr>
        <w:t>All models are evaluated under an expanding-window (recursive) backtesting scheme. At each evaluation step t, the model is trained on all available data from the start of the sample through t−1. Forecasts are then generated for horizons h = 1, 3, and 6 months ahead. The window expands by one month at each step, and the process repeats from January 2000 through February 2026 — yielding 314 evaluation points per model-target-horizon combination. A minimum training window of 60 months (5 years) is required before the first forecast.</w:t>
      </w:r>
    </w:p>
    <w:p>
      <w:pPr>
        <w:spacing w:after="120"/>
      </w:pPr>
      <w:r>
        <w:rPr>
          <w:color w:val="404040"/>
          <w:sz w:val="20"/>
        </w:rPr>
        <w:t>This design enforces strict temporal ordering: no model ever observes data from beyond the current evaluation date. This is the standard evaluation protocol in academic macroeconomic forecasting and ensures that all reported results reflect genuine out-of-sample forecast accuracy.</w:t>
      </w:r>
    </w:p>
    <w:p>
      <w:pPr>
        <w:spacing w:before="240" w:after="60"/>
      </w:pPr>
      <w:r>
        <w:rPr>
          <w:b/>
          <w:color w:val="2E75B6"/>
          <w:sz w:val="22"/>
        </w:rPr>
        <w:t>5.2 Direct Multi-Step Forecasting</w:t>
      </w:r>
    </w:p>
    <w:p>
      <w:pPr>
        <w:spacing w:after="120"/>
      </w:pPr>
      <w:r>
        <w:rPr>
          <w:color w:val="404040"/>
          <w:sz w:val="20"/>
        </w:rPr>
        <w:t>For the ML models, direct forecasting is used: a separate model is estimated for each horizon h, with the target variable at time t+h regressed on features observed at time t. This avoids the compounding of forecast errors that occurs in iterated forecasting and allows each model to learn a horizon-specific mapping from predictors to outcomes.</w:t>
      </w:r>
    </w:p>
    <w:p>
      <w:pPr>
        <w:spacing w:before="240" w:after="60"/>
      </w:pPr>
      <w:r>
        <w:rPr>
          <w:b/>
          <w:color w:val="2E75B6"/>
          <w:sz w:val="22"/>
        </w:rPr>
        <w:t>5.3 Accuracy Metrics</w:t>
      </w:r>
    </w:p>
    <w:tbl>
      <w:tblPr>
        <w:tblStyle w:val="TableGrid"/>
        <w:tblW w:type="auto" w:w="0"/>
        <w:jc w:val="left"/>
        <w:tblLook w:firstColumn="1" w:firstRow="1" w:lastColumn="0" w:lastRow="0" w:noHBand="0" w:noVBand="1" w:val="04A0"/>
      </w:tblPr>
      <w:tblGrid>
        <w:gridCol w:w="3041"/>
        <w:gridCol w:w="3041"/>
        <w:gridCol w:w="3041"/>
      </w:tblGrid>
      <w:tr>
        <w:tc>
          <w:tcPr>
            <w:tcW w:type="dxa" w:w="1296"/>
            <w:shd w:val="clear" w:color="auto" w:fill="1F3964"/>
          </w:tcPr>
          <w:p>
            <w:pPr>
              <w:jc w:val="center"/>
            </w:pPr>
            <w:r>
              <w:rPr>
                <w:b/>
                <w:color w:val="FFFFFF"/>
                <w:sz w:val="18"/>
              </w:rPr>
              <w:t>Metric</w:t>
            </w:r>
          </w:p>
        </w:tc>
        <w:tc>
          <w:tcPr>
            <w:tcW w:type="dxa" w:w="3456"/>
            <w:shd w:val="clear" w:color="auto" w:fill="1F3964"/>
          </w:tcPr>
          <w:p>
            <w:pPr>
              <w:jc w:val="center"/>
            </w:pPr>
            <w:r>
              <w:rPr>
                <w:b/>
                <w:color w:val="FFFFFF"/>
                <w:sz w:val="18"/>
              </w:rPr>
              <w:t>Formula (conceptual)</w:t>
            </w:r>
          </w:p>
        </w:tc>
        <w:tc>
          <w:tcPr>
            <w:tcW w:type="dxa" w:w="4752"/>
            <w:shd w:val="clear" w:color="auto" w:fill="1F3964"/>
          </w:tcPr>
          <w:p>
            <w:pPr>
              <w:jc w:val="center"/>
            </w:pPr>
            <w:r>
              <w:rPr>
                <w:b/>
                <w:color w:val="FFFFFF"/>
                <w:sz w:val="18"/>
              </w:rPr>
              <w:t>Interpretation</w:t>
            </w:r>
          </w:p>
        </w:tc>
      </w:tr>
      <w:tr>
        <w:tc>
          <w:tcPr>
            <w:tcW w:type="dxa" w:w="1296"/>
            <w:shd w:val="clear" w:color="auto" w:fill="F2F7FC"/>
          </w:tcPr>
          <w:p>
            <w:r>
              <w:rPr>
                <w:b/>
                <w:color w:val="404040"/>
                <w:sz w:val="18"/>
              </w:rPr>
              <w:t>RMSE</w:t>
            </w:r>
          </w:p>
        </w:tc>
        <w:tc>
          <w:tcPr>
            <w:tcW w:type="dxa" w:w="3456"/>
            <w:shd w:val="clear" w:color="auto" w:fill="F2F7FC"/>
          </w:tcPr>
          <w:p>
            <w:r>
              <w:rPr>
                <w:color w:val="404040"/>
                <w:sz w:val="18"/>
              </w:rPr>
              <w:t>√[ mean(actual − forecast)² ]</w:t>
            </w:r>
          </w:p>
        </w:tc>
        <w:tc>
          <w:tcPr>
            <w:tcW w:type="dxa" w:w="4752"/>
            <w:shd w:val="clear" w:color="auto" w:fill="F2F7FC"/>
          </w:tcPr>
          <w:p>
            <w:r>
              <w:rPr>
                <w:color w:val="404040"/>
                <w:sz w:val="18"/>
              </w:rPr>
              <w:t>Penalises large errors more heavily. Primary metric throughout.</w:t>
            </w:r>
          </w:p>
        </w:tc>
      </w:tr>
      <w:tr>
        <w:tc>
          <w:tcPr>
            <w:tcW w:type="dxa" w:w="1296"/>
            <w:shd w:val="clear" w:color="auto" w:fill="FFFFFF"/>
          </w:tcPr>
          <w:p>
            <w:r>
              <w:rPr>
                <w:b/>
                <w:color w:val="404040"/>
                <w:sz w:val="18"/>
              </w:rPr>
              <w:t>MAE</w:t>
            </w:r>
          </w:p>
        </w:tc>
        <w:tc>
          <w:tcPr>
            <w:tcW w:type="dxa" w:w="3456"/>
            <w:shd w:val="clear" w:color="auto" w:fill="FFFFFF"/>
          </w:tcPr>
          <w:p>
            <w:r>
              <w:rPr>
                <w:color w:val="404040"/>
                <w:sz w:val="18"/>
              </w:rPr>
              <w:t>mean |actual − forecast|</w:t>
            </w:r>
          </w:p>
        </w:tc>
        <w:tc>
          <w:tcPr>
            <w:tcW w:type="dxa" w:w="4752"/>
            <w:shd w:val="clear" w:color="auto" w:fill="FFFFFF"/>
          </w:tcPr>
          <w:p>
            <w:r>
              <w:rPr>
                <w:color w:val="404040"/>
                <w:sz w:val="18"/>
              </w:rPr>
              <w:t>Average absolute error in percentage-point terms. Secondary metric.</w:t>
            </w:r>
          </w:p>
        </w:tc>
      </w:tr>
    </w:tbl>
    <w:p>
      <w:pPr>
        <w:spacing w:before="400" w:after="100"/>
      </w:pPr>
      <w:r>
        <w:rPr>
          <w:b/>
          <w:color w:val="1F3964"/>
          <w:sz w:val="28"/>
        </w:rPr>
        <w:t>6. Results</w:t>
      </w:r>
    </w:p>
    <w:p>
      <w:pPr>
        <w:spacing w:before="240" w:after="60"/>
      </w:pPr>
      <w:r>
        <w:rPr>
          <w:b/>
          <w:color w:val="2E75B6"/>
          <w:sz w:val="22"/>
        </w:rPr>
        <w:t>6.1 Overall RMSE Comparison — Inflation</w:t>
      </w:r>
    </w:p>
    <w:p>
      <w:pPr>
        <w:spacing w:after="80"/>
      </w:pPr>
      <w:r>
        <w:rPr>
          <w:i/>
          <w:color w:val="888888"/>
          <w:sz w:val="18"/>
        </w:rPr>
        <w:t>Lower RMSE is better. Bold = best in column.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880"/>
            <w:shd w:val="clear" w:color="auto" w:fill="1F3964"/>
          </w:tcPr>
          <w:p>
            <w:pPr>
              <w:jc w:val="center"/>
            </w:pPr>
            <w:r>
              <w:rPr>
                <w:b/>
                <w:color w:val="FFFFFF"/>
                <w:sz w:val="18"/>
              </w:rPr>
              <w:t>Model</w:t>
            </w:r>
          </w:p>
        </w:tc>
        <w:tc>
          <w:tcPr>
            <w:tcW w:type="dxa" w:w="1728"/>
            <w:shd w:val="clear" w:color="auto" w:fill="1F3964"/>
          </w:tcPr>
          <w:p>
            <w:pPr>
              <w:jc w:val="center"/>
            </w:pPr>
            <w:r>
              <w:rPr>
                <w:b/>
                <w:color w:val="FFFFFF"/>
                <w:sz w:val="18"/>
              </w:rPr>
              <w:t>h=1</w:t>
            </w:r>
          </w:p>
        </w:tc>
        <w:tc>
          <w:tcPr>
            <w:tcW w:type="dxa" w:w="1728"/>
            <w:shd w:val="clear" w:color="auto" w:fill="1F3964"/>
          </w:tcPr>
          <w:p>
            <w:pPr>
              <w:jc w:val="center"/>
            </w:pPr>
            <w:r>
              <w:rPr>
                <w:b/>
                <w:color w:val="FFFFFF"/>
                <w:sz w:val="18"/>
              </w:rPr>
              <w:t>h=3</w:t>
            </w:r>
          </w:p>
        </w:tc>
        <w:tc>
          <w:tcPr>
            <w:tcW w:type="dxa" w:w="1728"/>
            <w:shd w:val="clear" w:color="auto" w:fill="1F3964"/>
          </w:tcPr>
          <w:p>
            <w:pPr>
              <w:jc w:val="center"/>
            </w:pPr>
            <w:r>
              <w:rPr>
                <w:b/>
                <w:color w:val="FFFFFF"/>
                <w:sz w:val="18"/>
              </w:rPr>
              <w:t>h=6</w:t>
            </w:r>
          </w:p>
        </w:tc>
      </w:tr>
      <w:tr>
        <w:tc>
          <w:tcPr>
            <w:tcW w:type="dxa" w:w="2880"/>
            <w:shd w:val="clear" w:color="auto" w:fill="F2F7FC"/>
          </w:tcPr>
          <w:p>
            <w:r>
              <w:rPr>
                <w:b/>
                <w:color w:val="404040"/>
                <w:sz w:val="18"/>
              </w:rPr>
              <w:t>Naive</w:t>
            </w:r>
          </w:p>
        </w:tc>
        <w:tc>
          <w:tcPr>
            <w:tcW w:type="dxa" w:w="1728"/>
            <w:shd w:val="clear" w:color="auto" w:fill="F2F7FC"/>
          </w:tcPr>
          <w:p>
            <w:r>
              <w:rPr>
                <w:color w:val="404040"/>
                <w:sz w:val="18"/>
              </w:rPr>
              <w:t>0.449</w:t>
            </w:r>
          </w:p>
        </w:tc>
        <w:tc>
          <w:tcPr>
            <w:tcW w:type="dxa" w:w="1728"/>
            <w:shd w:val="clear" w:color="auto" w:fill="F2F7FC"/>
          </w:tcPr>
          <w:p>
            <w:r>
              <w:rPr>
                <w:color w:val="404040"/>
                <w:sz w:val="18"/>
              </w:rPr>
              <w:t>0.977</w:t>
            </w:r>
          </w:p>
        </w:tc>
        <w:tc>
          <w:tcPr>
            <w:tcW w:type="dxa" w:w="1728"/>
            <w:shd w:val="clear" w:color="auto" w:fill="F2F7FC"/>
          </w:tcPr>
          <w:p>
            <w:r>
              <w:rPr>
                <w:color w:val="404040"/>
                <w:sz w:val="18"/>
              </w:rPr>
              <w:t>1.436</w:t>
            </w:r>
          </w:p>
        </w:tc>
      </w:tr>
      <w:tr>
        <w:tc>
          <w:tcPr>
            <w:tcW w:type="dxa" w:w="2880"/>
            <w:shd w:val="clear" w:color="auto" w:fill="FFFFFF"/>
          </w:tcPr>
          <w:p>
            <w:r>
              <w:rPr>
                <w:b/>
                <w:color w:val="404040"/>
                <w:sz w:val="18"/>
              </w:rPr>
              <w:t>ARIMA (auto-order)</w:t>
            </w:r>
          </w:p>
        </w:tc>
        <w:tc>
          <w:tcPr>
            <w:tcW w:type="dxa" w:w="1728"/>
            <w:shd w:val="clear" w:color="auto" w:fill="FFFFFF"/>
          </w:tcPr>
          <w:p>
            <w:r>
              <w:rPr>
                <w:color w:val="404040"/>
                <w:sz w:val="18"/>
              </w:rPr>
              <w:t>0.402</w:t>
            </w:r>
          </w:p>
        </w:tc>
        <w:tc>
          <w:tcPr>
            <w:tcW w:type="dxa" w:w="1728"/>
            <w:shd w:val="clear" w:color="auto" w:fill="FFFFFF"/>
          </w:tcPr>
          <w:p>
            <w:r>
              <w:rPr>
                <w:color w:val="404040"/>
                <w:sz w:val="18"/>
              </w:rPr>
              <w:t>0.957</w:t>
            </w:r>
          </w:p>
        </w:tc>
        <w:tc>
          <w:tcPr>
            <w:tcW w:type="dxa" w:w="1728"/>
            <w:shd w:val="clear" w:color="auto" w:fill="FFFFFF"/>
          </w:tcPr>
          <w:p>
            <w:r>
              <w:rPr>
                <w:color w:val="404040"/>
                <w:sz w:val="18"/>
              </w:rPr>
              <w:t>1.448</w:t>
            </w:r>
          </w:p>
        </w:tc>
      </w:tr>
      <w:tr>
        <w:tc>
          <w:tcPr>
            <w:tcW w:type="dxa" w:w="2880"/>
            <w:shd w:val="clear" w:color="auto" w:fill="F2F7FC"/>
          </w:tcPr>
          <w:p>
            <w:r>
              <w:rPr>
                <w:b/>
                <w:color w:val="404040"/>
                <w:sz w:val="18"/>
              </w:rPr>
              <w:t>VAR</w:t>
            </w:r>
          </w:p>
        </w:tc>
        <w:tc>
          <w:tcPr>
            <w:tcW w:type="dxa" w:w="1728"/>
            <w:shd w:val="clear" w:color="auto" w:fill="F2F7FC"/>
          </w:tcPr>
          <w:p>
            <w:r>
              <w:rPr>
                <w:color w:val="404040"/>
                <w:sz w:val="18"/>
              </w:rPr>
              <w:t>0.431</w:t>
            </w:r>
          </w:p>
        </w:tc>
        <w:tc>
          <w:tcPr>
            <w:tcW w:type="dxa" w:w="1728"/>
            <w:shd w:val="clear" w:color="auto" w:fill="F2F7FC"/>
          </w:tcPr>
          <w:p>
            <w:r>
              <w:rPr>
                <w:color w:val="404040"/>
                <w:sz w:val="18"/>
              </w:rPr>
              <w:t>1.127</w:t>
            </w:r>
          </w:p>
        </w:tc>
        <w:tc>
          <w:tcPr>
            <w:tcW w:type="dxa" w:w="1728"/>
            <w:shd w:val="clear" w:color="auto" w:fill="F2F7FC"/>
          </w:tcPr>
          <w:p>
            <w:r>
              <w:rPr>
                <w:color w:val="404040"/>
                <w:sz w:val="18"/>
              </w:rPr>
              <w:t>1.974</w:t>
            </w:r>
          </w:p>
        </w:tc>
      </w:tr>
      <w:tr>
        <w:tc>
          <w:tcPr>
            <w:tcW w:type="dxa" w:w="2880"/>
            <w:shd w:val="clear" w:color="auto" w:fill="FFFFFF"/>
          </w:tcPr>
          <w:p>
            <w:r>
              <w:rPr>
                <w:b/>
                <w:color w:val="404040"/>
                <w:sz w:val="18"/>
              </w:rPr>
              <w:t>Ridge (α=1.0)</w:t>
            </w:r>
          </w:p>
        </w:tc>
        <w:tc>
          <w:tcPr>
            <w:tcW w:type="dxa" w:w="1728"/>
            <w:shd w:val="clear" w:color="auto" w:fill="FFFFFF"/>
          </w:tcPr>
          <w:p>
            <w:r>
              <w:rPr>
                <w:color w:val="404040"/>
                <w:sz w:val="18"/>
              </w:rPr>
              <w:t>0.533</w:t>
            </w:r>
          </w:p>
        </w:tc>
        <w:tc>
          <w:tcPr>
            <w:tcW w:type="dxa" w:w="1728"/>
            <w:shd w:val="clear" w:color="auto" w:fill="FFFFFF"/>
          </w:tcPr>
          <w:p>
            <w:r>
              <w:rPr>
                <w:color w:val="404040"/>
                <w:sz w:val="18"/>
              </w:rPr>
              <w:t>1.424</w:t>
            </w:r>
          </w:p>
        </w:tc>
        <w:tc>
          <w:tcPr>
            <w:tcW w:type="dxa" w:w="1728"/>
            <w:shd w:val="clear" w:color="auto" w:fill="FFFFFF"/>
          </w:tcPr>
          <w:p>
            <w:r>
              <w:rPr>
                <w:color w:val="404040"/>
                <w:sz w:val="18"/>
              </w:rPr>
              <w:t>1.597</w:t>
            </w:r>
          </w:p>
        </w:tc>
      </w:tr>
      <w:tr>
        <w:tc>
          <w:tcPr>
            <w:tcW w:type="dxa" w:w="2880"/>
            <w:shd w:val="clear" w:color="auto" w:fill="F2F7FC"/>
          </w:tcPr>
          <w:p>
            <w:r>
              <w:rPr>
                <w:b/>
                <w:color w:val="404040"/>
                <w:sz w:val="18"/>
              </w:rPr>
              <w:t>Lasso (α=0.01)</w:t>
            </w:r>
          </w:p>
        </w:tc>
        <w:tc>
          <w:tcPr>
            <w:tcW w:type="dxa" w:w="1728"/>
            <w:shd w:val="clear" w:color="auto" w:fill="2E75B6"/>
          </w:tcPr>
          <w:p>
            <w:pPr>
              <w:jc w:val="center"/>
            </w:pPr>
            <w:r>
              <w:rPr>
                <w:b/>
                <w:color w:val="FFFFFF"/>
                <w:sz w:val="18"/>
              </w:rPr>
              <w:t>0.278 ✓</w:t>
            </w:r>
          </w:p>
        </w:tc>
        <w:tc>
          <w:tcPr>
            <w:tcW w:type="dxa" w:w="1728"/>
            <w:shd w:val="clear" w:color="auto" w:fill="F2F7FC"/>
          </w:tcPr>
          <w:p>
            <w:r>
              <w:rPr>
                <w:color w:val="404040"/>
                <w:sz w:val="18"/>
              </w:rPr>
              <w:t>0.934</w:t>
            </w:r>
          </w:p>
        </w:tc>
        <w:tc>
          <w:tcPr>
            <w:tcW w:type="dxa" w:w="1728"/>
            <w:shd w:val="clear" w:color="auto" w:fill="F2F7FC"/>
          </w:tcPr>
          <w:p>
            <w:r>
              <w:rPr>
                <w:color w:val="404040"/>
                <w:sz w:val="18"/>
              </w:rPr>
              <w:t>1.242</w:t>
            </w:r>
          </w:p>
        </w:tc>
      </w:tr>
      <w:tr>
        <w:tc>
          <w:tcPr>
            <w:tcW w:type="dxa" w:w="2880"/>
            <w:shd w:val="clear" w:color="auto" w:fill="FFFFFF"/>
          </w:tcPr>
          <w:p>
            <w:r>
              <w:rPr>
                <w:b/>
                <w:color w:val="404040"/>
                <w:sz w:val="18"/>
              </w:rPr>
              <w:t>Random Forest</w:t>
            </w:r>
          </w:p>
        </w:tc>
        <w:tc>
          <w:tcPr>
            <w:tcW w:type="dxa" w:w="1728"/>
            <w:shd w:val="clear" w:color="auto" w:fill="FFFFFF"/>
          </w:tcPr>
          <w:p>
            <w:r>
              <w:rPr>
                <w:color w:val="404040"/>
                <w:sz w:val="18"/>
              </w:rPr>
              <w:t>0.421</w:t>
            </w:r>
          </w:p>
        </w:tc>
        <w:tc>
          <w:tcPr>
            <w:tcW w:type="dxa" w:w="1728"/>
            <w:shd w:val="clear" w:color="auto" w:fill="FFFFFF"/>
          </w:tcPr>
          <w:p>
            <w:r>
              <w:rPr>
                <w:color w:val="404040"/>
                <w:sz w:val="18"/>
              </w:rPr>
              <w:t>0.795</w:t>
            </w:r>
          </w:p>
        </w:tc>
        <w:tc>
          <w:tcPr>
            <w:tcW w:type="dxa" w:w="1728"/>
            <w:shd w:val="clear" w:color="auto" w:fill="FFFFFF"/>
          </w:tcPr>
          <w:p>
            <w:r>
              <w:rPr>
                <w:color w:val="404040"/>
                <w:sz w:val="18"/>
              </w:rPr>
              <w:t>1.060</w:t>
            </w:r>
          </w:p>
        </w:tc>
      </w:tr>
      <w:tr>
        <w:tc>
          <w:tcPr>
            <w:tcW w:type="dxa" w:w="2880"/>
            <w:shd w:val="clear" w:color="auto" w:fill="F2F7FC"/>
          </w:tcPr>
          <w:p>
            <w:r>
              <w:rPr>
                <w:b/>
                <w:color w:val="404040"/>
                <w:sz w:val="18"/>
              </w:rPr>
              <w:t>XGBoost</w:t>
            </w:r>
          </w:p>
        </w:tc>
        <w:tc>
          <w:tcPr>
            <w:tcW w:type="dxa" w:w="1728"/>
            <w:shd w:val="clear" w:color="auto" w:fill="F2F7FC"/>
          </w:tcPr>
          <w:p>
            <w:r>
              <w:rPr>
                <w:color w:val="404040"/>
                <w:sz w:val="18"/>
              </w:rPr>
              <w:t>0.335</w:t>
            </w:r>
          </w:p>
        </w:tc>
        <w:tc>
          <w:tcPr>
            <w:tcW w:type="dxa" w:w="1728"/>
            <w:shd w:val="clear" w:color="auto" w:fill="2E75B6"/>
          </w:tcPr>
          <w:p>
            <w:pPr>
              <w:jc w:val="center"/>
            </w:pPr>
            <w:r>
              <w:rPr>
                <w:b/>
                <w:color w:val="FFFFFF"/>
                <w:sz w:val="18"/>
              </w:rPr>
              <w:t>0.746 ✓</w:t>
            </w:r>
          </w:p>
        </w:tc>
        <w:tc>
          <w:tcPr>
            <w:tcW w:type="dxa" w:w="1728"/>
            <w:shd w:val="clear" w:color="auto" w:fill="2E75B6"/>
          </w:tcPr>
          <w:p>
            <w:pPr>
              <w:jc w:val="center"/>
            </w:pPr>
            <w:r>
              <w:rPr>
                <w:b/>
                <w:color w:val="FFFFFF"/>
                <w:sz w:val="18"/>
              </w:rPr>
              <w:t>0.831 ✓</w:t>
            </w:r>
          </w:p>
        </w:tc>
      </w:tr>
    </w:tbl>
    <w:p/>
    <w:p>
      <w:pPr>
        <w:spacing w:before="240" w:after="60"/>
      </w:pPr>
      <w:r>
        <w:rPr>
          <w:b/>
          <w:color w:val="2E75B6"/>
          <w:sz w:val="22"/>
        </w:rPr>
        <w:t>6.2 Overall RMSE Comparison — Unemployment</w:t>
      </w:r>
    </w:p>
    <w:p>
      <w:pPr>
        <w:spacing w:after="80"/>
      </w:pPr>
      <w:r>
        <w:rPr>
          <w:i/>
          <w:color w:val="888888"/>
          <w:sz w:val="18"/>
        </w:rPr>
        <w:t>Lower RMSE is better. Bold = best in column.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880"/>
            <w:shd w:val="clear" w:color="auto" w:fill="1F3964"/>
          </w:tcPr>
          <w:p>
            <w:pPr>
              <w:jc w:val="center"/>
            </w:pPr>
            <w:r>
              <w:rPr>
                <w:b/>
                <w:color w:val="FFFFFF"/>
                <w:sz w:val="18"/>
              </w:rPr>
              <w:t>Model</w:t>
            </w:r>
          </w:p>
        </w:tc>
        <w:tc>
          <w:tcPr>
            <w:tcW w:type="dxa" w:w="1728"/>
            <w:shd w:val="clear" w:color="auto" w:fill="1F3964"/>
          </w:tcPr>
          <w:p>
            <w:pPr>
              <w:jc w:val="center"/>
            </w:pPr>
            <w:r>
              <w:rPr>
                <w:b/>
                <w:color w:val="FFFFFF"/>
                <w:sz w:val="18"/>
              </w:rPr>
              <w:t>h=1</w:t>
            </w:r>
          </w:p>
        </w:tc>
        <w:tc>
          <w:tcPr>
            <w:tcW w:type="dxa" w:w="1728"/>
            <w:shd w:val="clear" w:color="auto" w:fill="1F3964"/>
          </w:tcPr>
          <w:p>
            <w:pPr>
              <w:jc w:val="center"/>
            </w:pPr>
            <w:r>
              <w:rPr>
                <w:b/>
                <w:color w:val="FFFFFF"/>
                <w:sz w:val="18"/>
              </w:rPr>
              <w:t>h=3</w:t>
            </w:r>
          </w:p>
        </w:tc>
        <w:tc>
          <w:tcPr>
            <w:tcW w:type="dxa" w:w="1728"/>
            <w:shd w:val="clear" w:color="auto" w:fill="1F3964"/>
          </w:tcPr>
          <w:p>
            <w:pPr>
              <w:jc w:val="center"/>
            </w:pPr>
            <w:r>
              <w:rPr>
                <w:b/>
                <w:color w:val="FFFFFF"/>
                <w:sz w:val="18"/>
              </w:rPr>
              <w:t>h=6</w:t>
            </w:r>
          </w:p>
        </w:tc>
      </w:tr>
      <w:tr>
        <w:tc>
          <w:tcPr>
            <w:tcW w:type="dxa" w:w="2880"/>
            <w:shd w:val="clear" w:color="auto" w:fill="F2F7FC"/>
          </w:tcPr>
          <w:p>
            <w:r>
              <w:rPr>
                <w:b/>
                <w:color w:val="404040"/>
                <w:sz w:val="18"/>
              </w:rPr>
              <w:t>Naive</w:t>
            </w:r>
          </w:p>
        </w:tc>
        <w:tc>
          <w:tcPr>
            <w:tcW w:type="dxa" w:w="1728"/>
            <w:shd w:val="clear" w:color="auto" w:fill="F2F7FC"/>
          </w:tcPr>
          <w:p>
            <w:r>
              <w:rPr>
                <w:color w:val="404040"/>
                <w:sz w:val="18"/>
              </w:rPr>
              <w:t>0.642</w:t>
            </w:r>
          </w:p>
        </w:tc>
        <w:tc>
          <w:tcPr>
            <w:tcW w:type="dxa" w:w="1728"/>
            <w:shd w:val="clear" w:color="auto" w:fill="F2F7FC"/>
          </w:tcPr>
          <w:p>
            <w:r>
              <w:rPr>
                <w:color w:val="404040"/>
                <w:sz w:val="18"/>
              </w:rPr>
              <w:t>1.087</w:t>
            </w:r>
          </w:p>
        </w:tc>
        <w:tc>
          <w:tcPr>
            <w:tcW w:type="dxa" w:w="1728"/>
            <w:shd w:val="clear" w:color="auto" w:fill="F2F7FC"/>
          </w:tcPr>
          <w:p>
            <w:r>
              <w:rPr>
                <w:color w:val="404040"/>
                <w:sz w:val="18"/>
              </w:rPr>
              <w:t>1.400</w:t>
            </w:r>
          </w:p>
        </w:tc>
      </w:tr>
      <w:tr>
        <w:tc>
          <w:tcPr>
            <w:tcW w:type="dxa" w:w="2880"/>
            <w:shd w:val="clear" w:color="auto" w:fill="FFFFFF"/>
          </w:tcPr>
          <w:p>
            <w:r>
              <w:rPr>
                <w:b/>
                <w:color w:val="404040"/>
                <w:sz w:val="18"/>
              </w:rPr>
              <w:t>ARIMA (auto-order)</w:t>
            </w:r>
          </w:p>
        </w:tc>
        <w:tc>
          <w:tcPr>
            <w:tcW w:type="dxa" w:w="1728"/>
            <w:shd w:val="clear" w:color="auto" w:fill="FFFFFF"/>
          </w:tcPr>
          <w:p>
            <w:r>
              <w:rPr>
                <w:color w:val="404040"/>
                <w:sz w:val="18"/>
              </w:rPr>
              <w:t>0.996</w:t>
            </w:r>
          </w:p>
        </w:tc>
        <w:tc>
          <w:tcPr>
            <w:tcW w:type="dxa" w:w="1728"/>
            <w:shd w:val="clear" w:color="auto" w:fill="FFFFFF"/>
          </w:tcPr>
          <w:p>
            <w:r>
              <w:rPr>
                <w:color w:val="404040"/>
                <w:sz w:val="18"/>
              </w:rPr>
              <w:t>2.741</w:t>
            </w:r>
          </w:p>
        </w:tc>
        <w:tc>
          <w:tcPr>
            <w:tcW w:type="dxa" w:w="1728"/>
            <w:shd w:val="clear" w:color="auto" w:fill="FFFFFF"/>
          </w:tcPr>
          <w:p>
            <w:r>
              <w:rPr>
                <w:color w:val="404040"/>
                <w:sz w:val="18"/>
              </w:rPr>
              <w:t>5.756</w:t>
            </w:r>
          </w:p>
        </w:tc>
      </w:tr>
      <w:tr>
        <w:tc>
          <w:tcPr>
            <w:tcW w:type="dxa" w:w="2880"/>
            <w:shd w:val="clear" w:color="auto" w:fill="F2F7FC"/>
          </w:tcPr>
          <w:p>
            <w:r>
              <w:rPr>
                <w:b/>
                <w:color w:val="404040"/>
                <w:sz w:val="18"/>
              </w:rPr>
              <w:t>VAR</w:t>
            </w:r>
          </w:p>
        </w:tc>
        <w:tc>
          <w:tcPr>
            <w:tcW w:type="dxa" w:w="1728"/>
            <w:shd w:val="clear" w:color="auto" w:fill="F2F7FC"/>
          </w:tcPr>
          <w:p>
            <w:r>
              <w:rPr>
                <w:color w:val="404040"/>
                <w:sz w:val="18"/>
              </w:rPr>
              <w:t>0.989</w:t>
            </w:r>
          </w:p>
        </w:tc>
        <w:tc>
          <w:tcPr>
            <w:tcW w:type="dxa" w:w="1728"/>
            <w:shd w:val="clear" w:color="auto" w:fill="F2F7FC"/>
          </w:tcPr>
          <w:p>
            <w:r>
              <w:rPr>
                <w:color w:val="404040"/>
                <w:sz w:val="18"/>
              </w:rPr>
              <w:t>2.729</w:t>
            </w:r>
          </w:p>
        </w:tc>
        <w:tc>
          <w:tcPr>
            <w:tcW w:type="dxa" w:w="1728"/>
            <w:shd w:val="clear" w:color="auto" w:fill="F2F7FC"/>
          </w:tcPr>
          <w:p>
            <w:r>
              <w:rPr>
                <w:color w:val="404040"/>
                <w:sz w:val="18"/>
              </w:rPr>
              <w:t>5.937</w:t>
            </w:r>
          </w:p>
        </w:tc>
      </w:tr>
      <w:tr>
        <w:tc>
          <w:tcPr>
            <w:tcW w:type="dxa" w:w="2880"/>
            <w:shd w:val="clear" w:color="auto" w:fill="FFFFFF"/>
          </w:tcPr>
          <w:p>
            <w:r>
              <w:rPr>
                <w:b/>
                <w:color w:val="404040"/>
                <w:sz w:val="18"/>
              </w:rPr>
              <w:t>Ridge (α=1.0)</w:t>
            </w:r>
          </w:p>
        </w:tc>
        <w:tc>
          <w:tcPr>
            <w:tcW w:type="dxa" w:w="1728"/>
            <w:shd w:val="clear" w:color="auto" w:fill="FFFFFF"/>
          </w:tcPr>
          <w:p>
            <w:r>
              <w:rPr>
                <w:color w:val="404040"/>
                <w:sz w:val="18"/>
              </w:rPr>
              <w:t>2.211</w:t>
            </w:r>
          </w:p>
        </w:tc>
        <w:tc>
          <w:tcPr>
            <w:tcW w:type="dxa" w:w="1728"/>
            <w:shd w:val="clear" w:color="auto" w:fill="FFFFFF"/>
          </w:tcPr>
          <w:p>
            <w:r>
              <w:rPr>
                <w:color w:val="404040"/>
                <w:sz w:val="18"/>
              </w:rPr>
              <w:t>2.338</w:t>
            </w:r>
          </w:p>
        </w:tc>
        <w:tc>
          <w:tcPr>
            <w:tcW w:type="dxa" w:w="1728"/>
            <w:shd w:val="clear" w:color="auto" w:fill="FFFFFF"/>
          </w:tcPr>
          <w:p>
            <w:r>
              <w:rPr>
                <w:color w:val="404040"/>
                <w:sz w:val="18"/>
              </w:rPr>
              <w:t>2.665</w:t>
            </w:r>
          </w:p>
        </w:tc>
      </w:tr>
      <w:tr>
        <w:tc>
          <w:tcPr>
            <w:tcW w:type="dxa" w:w="2880"/>
            <w:shd w:val="clear" w:color="auto" w:fill="F2F7FC"/>
          </w:tcPr>
          <w:p>
            <w:r>
              <w:rPr>
                <w:b/>
                <w:color w:val="404040"/>
                <w:sz w:val="18"/>
              </w:rPr>
              <w:t>Lasso (α=0.01)</w:t>
            </w:r>
          </w:p>
        </w:tc>
        <w:tc>
          <w:tcPr>
            <w:tcW w:type="dxa" w:w="1728"/>
            <w:shd w:val="clear" w:color="auto" w:fill="F2F7FC"/>
          </w:tcPr>
          <w:p>
            <w:r>
              <w:rPr>
                <w:color w:val="404040"/>
                <w:sz w:val="18"/>
              </w:rPr>
              <w:t>2.099</w:t>
            </w:r>
          </w:p>
        </w:tc>
        <w:tc>
          <w:tcPr>
            <w:tcW w:type="dxa" w:w="1728"/>
            <w:shd w:val="clear" w:color="auto" w:fill="F2F7FC"/>
          </w:tcPr>
          <w:p>
            <w:r>
              <w:rPr>
                <w:color w:val="404040"/>
                <w:sz w:val="18"/>
              </w:rPr>
              <w:t>2.073</w:t>
            </w:r>
          </w:p>
        </w:tc>
        <w:tc>
          <w:tcPr>
            <w:tcW w:type="dxa" w:w="1728"/>
            <w:shd w:val="clear" w:color="auto" w:fill="F2F7FC"/>
          </w:tcPr>
          <w:p>
            <w:r>
              <w:rPr>
                <w:color w:val="404040"/>
                <w:sz w:val="18"/>
              </w:rPr>
              <w:t>2.506</w:t>
            </w:r>
          </w:p>
        </w:tc>
      </w:tr>
      <w:tr>
        <w:tc>
          <w:tcPr>
            <w:tcW w:type="dxa" w:w="2880"/>
            <w:shd w:val="clear" w:color="auto" w:fill="FFFFFF"/>
          </w:tcPr>
          <w:p>
            <w:r>
              <w:rPr>
                <w:b/>
                <w:color w:val="404040"/>
                <w:sz w:val="18"/>
              </w:rPr>
              <w:t>Random Forest</w:t>
            </w:r>
          </w:p>
        </w:tc>
        <w:tc>
          <w:tcPr>
            <w:tcW w:type="dxa" w:w="1728"/>
            <w:shd w:val="clear" w:color="auto" w:fill="FFFFFF"/>
          </w:tcPr>
          <w:p>
            <w:r>
              <w:rPr>
                <w:color w:val="404040"/>
                <w:sz w:val="18"/>
              </w:rPr>
              <w:t>0.448</w:t>
            </w:r>
          </w:p>
        </w:tc>
        <w:tc>
          <w:tcPr>
            <w:tcW w:type="dxa" w:w="1728"/>
            <w:shd w:val="clear" w:color="auto" w:fill="FFFFFF"/>
          </w:tcPr>
          <w:p>
            <w:r>
              <w:rPr>
                <w:color w:val="404040"/>
                <w:sz w:val="18"/>
              </w:rPr>
              <w:t>0.903</w:t>
            </w:r>
          </w:p>
        </w:tc>
        <w:tc>
          <w:tcPr>
            <w:tcW w:type="dxa" w:w="1728"/>
            <w:shd w:val="clear" w:color="auto" w:fill="FFFFFF"/>
          </w:tcPr>
          <w:p>
            <w:r>
              <w:rPr>
                <w:color w:val="404040"/>
                <w:sz w:val="18"/>
              </w:rPr>
              <w:t>1.168</w:t>
            </w:r>
          </w:p>
        </w:tc>
      </w:tr>
      <w:tr>
        <w:tc>
          <w:tcPr>
            <w:tcW w:type="dxa" w:w="2880"/>
            <w:shd w:val="clear" w:color="auto" w:fill="F2F7FC"/>
          </w:tcPr>
          <w:p>
            <w:r>
              <w:rPr>
                <w:b/>
                <w:color w:val="404040"/>
                <w:sz w:val="18"/>
              </w:rPr>
              <w:t>XGBoost</w:t>
            </w:r>
          </w:p>
        </w:tc>
        <w:tc>
          <w:tcPr>
            <w:tcW w:type="dxa" w:w="1728"/>
            <w:shd w:val="clear" w:color="auto" w:fill="2E75B6"/>
          </w:tcPr>
          <w:p>
            <w:pPr>
              <w:jc w:val="center"/>
            </w:pPr>
            <w:r>
              <w:rPr>
                <w:b/>
                <w:color w:val="FFFFFF"/>
                <w:sz w:val="18"/>
              </w:rPr>
              <w:t>0.259 ✓</w:t>
            </w:r>
          </w:p>
        </w:tc>
        <w:tc>
          <w:tcPr>
            <w:tcW w:type="dxa" w:w="1728"/>
            <w:shd w:val="clear" w:color="auto" w:fill="2E75B6"/>
          </w:tcPr>
          <w:p>
            <w:pPr>
              <w:jc w:val="center"/>
            </w:pPr>
            <w:r>
              <w:rPr>
                <w:b/>
                <w:color w:val="FFFFFF"/>
                <w:sz w:val="18"/>
              </w:rPr>
              <w:t>0.903 ✓</w:t>
            </w:r>
          </w:p>
        </w:tc>
        <w:tc>
          <w:tcPr>
            <w:tcW w:type="dxa" w:w="1728"/>
            <w:shd w:val="clear" w:color="auto" w:fill="2E75B6"/>
          </w:tcPr>
          <w:p>
            <w:pPr>
              <w:jc w:val="center"/>
            </w:pPr>
            <w:r>
              <w:rPr>
                <w:b/>
                <w:color w:val="FFFFFF"/>
                <w:sz w:val="18"/>
              </w:rPr>
              <w:t>0.956 ✓</w:t>
            </w:r>
          </w:p>
        </w:tc>
      </w:tr>
    </w:tbl>
    <w:p/>
    <w:p>
      <w:pPr>
        <w:spacing w:before="240" w:after="60"/>
      </w:pPr>
      <w:r>
        <w:rPr>
          <w:b/>
          <w:color w:val="2E75B6"/>
          <w:sz w:val="22"/>
        </w:rPr>
        <w:t>6.3 Winner Summary</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160"/>
            <w:shd w:val="clear" w:color="auto" w:fill="1F3964"/>
          </w:tcPr>
          <w:p>
            <w:pPr>
              <w:jc w:val="center"/>
            </w:pPr>
            <w:r>
              <w:rPr>
                <w:b/>
                <w:color w:val="FFFFFF"/>
                <w:sz w:val="18"/>
              </w:rPr>
            </w:r>
          </w:p>
        </w:tc>
        <w:tc>
          <w:tcPr>
            <w:tcW w:type="dxa" w:w="2736"/>
            <w:shd w:val="clear" w:color="auto" w:fill="1F3964"/>
          </w:tcPr>
          <w:p>
            <w:pPr>
              <w:jc w:val="center"/>
            </w:pPr>
            <w:r>
              <w:rPr>
                <w:b/>
                <w:color w:val="FFFFFF"/>
                <w:sz w:val="18"/>
              </w:rPr>
              <w:t>h=1 (1 month)</w:t>
            </w:r>
          </w:p>
        </w:tc>
        <w:tc>
          <w:tcPr>
            <w:tcW w:type="dxa" w:w="2736"/>
            <w:shd w:val="clear" w:color="auto" w:fill="1F3964"/>
          </w:tcPr>
          <w:p>
            <w:pPr>
              <w:jc w:val="center"/>
            </w:pPr>
            <w:r>
              <w:rPr>
                <w:b/>
                <w:color w:val="FFFFFF"/>
                <w:sz w:val="18"/>
              </w:rPr>
              <w:t>h=3 (3 months)</w:t>
            </w:r>
          </w:p>
        </w:tc>
        <w:tc>
          <w:tcPr>
            <w:tcW w:type="dxa" w:w="2736"/>
            <w:shd w:val="clear" w:color="auto" w:fill="1F3964"/>
          </w:tcPr>
          <w:p>
            <w:pPr>
              <w:jc w:val="center"/>
            </w:pPr>
            <w:r>
              <w:rPr>
                <w:b/>
                <w:color w:val="FFFFFF"/>
                <w:sz w:val="18"/>
              </w:rPr>
              <w:t>h=6 (6 months)</w:t>
            </w:r>
          </w:p>
        </w:tc>
      </w:tr>
      <w:tr>
        <w:tc>
          <w:tcPr>
            <w:tcW w:type="dxa" w:w="2160"/>
            <w:shd w:val="clear" w:color="auto" w:fill="F2F7FC"/>
          </w:tcPr>
          <w:p>
            <w:r>
              <w:rPr>
                <w:b/>
                <w:color w:val="404040"/>
                <w:sz w:val="18"/>
              </w:rPr>
              <w:t>Inflation</w:t>
            </w:r>
          </w:p>
        </w:tc>
        <w:tc>
          <w:tcPr>
            <w:tcW w:type="dxa" w:w="2736"/>
            <w:shd w:val="clear" w:color="auto" w:fill="F2F7FC"/>
          </w:tcPr>
          <w:p>
            <w:r>
              <w:rPr>
                <w:color w:val="404040"/>
                <w:sz w:val="18"/>
              </w:rPr>
              <w:t>Lasso (0.278)</w:t>
            </w:r>
          </w:p>
        </w:tc>
        <w:tc>
          <w:tcPr>
            <w:tcW w:type="dxa" w:w="2736"/>
            <w:shd w:val="clear" w:color="auto" w:fill="F2F7FC"/>
          </w:tcPr>
          <w:p>
            <w:r>
              <w:rPr>
                <w:color w:val="404040"/>
                <w:sz w:val="18"/>
              </w:rPr>
              <w:t>XGBoost (0.746)</w:t>
            </w:r>
          </w:p>
        </w:tc>
        <w:tc>
          <w:tcPr>
            <w:tcW w:type="dxa" w:w="2736"/>
            <w:shd w:val="clear" w:color="auto" w:fill="F2F7FC"/>
          </w:tcPr>
          <w:p>
            <w:r>
              <w:rPr>
                <w:color w:val="404040"/>
                <w:sz w:val="18"/>
              </w:rPr>
              <w:t>XGBoost (0.831)</w:t>
            </w:r>
          </w:p>
        </w:tc>
      </w:tr>
      <w:tr>
        <w:tc>
          <w:tcPr>
            <w:tcW w:type="dxa" w:w="2160"/>
            <w:shd w:val="clear" w:color="auto" w:fill="FFFFFF"/>
          </w:tcPr>
          <w:p>
            <w:r>
              <w:rPr>
                <w:b/>
                <w:color w:val="404040"/>
                <w:sz w:val="18"/>
              </w:rPr>
              <w:t>Unemployment</w:t>
            </w:r>
          </w:p>
        </w:tc>
        <w:tc>
          <w:tcPr>
            <w:tcW w:type="dxa" w:w="2736"/>
            <w:shd w:val="clear" w:color="auto" w:fill="FFFFFF"/>
          </w:tcPr>
          <w:p>
            <w:r>
              <w:rPr>
                <w:color w:val="404040"/>
                <w:sz w:val="18"/>
              </w:rPr>
              <w:t>XGBoost (0.259)</w:t>
            </w:r>
          </w:p>
        </w:tc>
        <w:tc>
          <w:tcPr>
            <w:tcW w:type="dxa" w:w="2736"/>
            <w:shd w:val="clear" w:color="auto" w:fill="FFFFFF"/>
          </w:tcPr>
          <w:p>
            <w:r>
              <w:rPr>
                <w:color w:val="404040"/>
                <w:sz w:val="18"/>
              </w:rPr>
              <w:t>XGBoost (0.903)</w:t>
            </w:r>
          </w:p>
        </w:tc>
        <w:tc>
          <w:tcPr>
            <w:tcW w:type="dxa" w:w="2736"/>
            <w:shd w:val="clear" w:color="auto" w:fill="FFFFFF"/>
          </w:tcPr>
          <w:p>
            <w:r>
              <w:rPr>
                <w:color w:val="404040"/>
                <w:sz w:val="18"/>
              </w:rPr>
              <w:t>XGBoost (0.956)</w:t>
            </w:r>
          </w:p>
        </w:tc>
      </w:tr>
    </w:tbl>
    <w:p/>
    <w:p>
      <w:pPr>
        <w:spacing w:before="240" w:after="60"/>
      </w:pPr>
      <w:r>
        <w:rPr>
          <w:b/>
          <w:color w:val="2E75B6"/>
          <w:sz w:val="22"/>
        </w:rPr>
        <w:t>6.4 Sub-Period Performance — Inflation (h=1 RMSE)</w:t>
      </w:r>
    </w:p>
    <w:p>
      <w:pPr>
        <w:spacing w:after="120"/>
      </w:pPr>
      <w:r>
        <w:rPr>
          <w:color w:val="404040"/>
          <w:sz w:val="20"/>
        </w:rPr>
        <w:t>Performance is split across three macroeconomic regimes to assess model stability:</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880"/>
            <w:shd w:val="clear" w:color="auto" w:fill="1F3964"/>
          </w:tcPr>
          <w:p>
            <w:pPr>
              <w:jc w:val="center"/>
            </w:pPr>
            <w:r>
              <w:rPr>
                <w:b/>
                <w:color w:val="FFFFFF"/>
                <w:sz w:val="18"/>
              </w:rPr>
              <w:t>Model</w:t>
            </w:r>
          </w:p>
        </w:tc>
        <w:tc>
          <w:tcPr>
            <w:tcW w:type="dxa" w:w="1728"/>
            <w:shd w:val="clear" w:color="auto" w:fill="1F3964"/>
          </w:tcPr>
          <w:p>
            <w:pPr>
              <w:jc w:val="center"/>
            </w:pPr>
            <w:r>
              <w:rPr>
                <w:b/>
                <w:color w:val="FFFFFF"/>
                <w:sz w:val="18"/>
              </w:rPr>
              <w:t>Pre-2008</w:t>
            </w:r>
          </w:p>
        </w:tc>
        <w:tc>
          <w:tcPr>
            <w:tcW w:type="dxa" w:w="1728"/>
            <w:shd w:val="clear" w:color="auto" w:fill="1F3964"/>
          </w:tcPr>
          <w:p>
            <w:pPr>
              <w:jc w:val="center"/>
            </w:pPr>
            <w:r>
              <w:rPr>
                <w:b/>
                <w:color w:val="FFFFFF"/>
                <w:sz w:val="18"/>
              </w:rPr>
              <w:t>2008–2019</w:t>
            </w:r>
          </w:p>
        </w:tc>
        <w:tc>
          <w:tcPr>
            <w:tcW w:type="dxa" w:w="1728"/>
            <w:shd w:val="clear" w:color="auto" w:fill="1F3964"/>
          </w:tcPr>
          <w:p>
            <w:pPr>
              <w:jc w:val="center"/>
            </w:pPr>
            <w:r>
              <w:rPr>
                <w:b/>
                <w:color w:val="FFFFFF"/>
                <w:sz w:val="18"/>
              </w:rPr>
              <w:t>2020+</w:t>
            </w:r>
          </w:p>
        </w:tc>
      </w:tr>
      <w:tr>
        <w:tc>
          <w:tcPr>
            <w:tcW w:type="dxa" w:w="2880"/>
            <w:shd w:val="clear" w:color="auto" w:fill="F2F7FC"/>
          </w:tcPr>
          <w:p>
            <w:r>
              <w:rPr>
                <w:b/>
                <w:color w:val="404040"/>
                <w:sz w:val="18"/>
              </w:rPr>
              <w:t>Naive</w:t>
            </w:r>
          </w:p>
        </w:tc>
        <w:tc>
          <w:tcPr>
            <w:tcW w:type="dxa" w:w="1728"/>
            <w:shd w:val="clear" w:color="auto" w:fill="F2F7FC"/>
          </w:tcPr>
          <w:p>
            <w:r>
              <w:rPr>
                <w:color w:val="404040"/>
                <w:sz w:val="18"/>
              </w:rPr>
              <w:t>0.448</w:t>
            </w:r>
          </w:p>
        </w:tc>
        <w:tc>
          <w:tcPr>
            <w:tcW w:type="dxa" w:w="1728"/>
            <w:shd w:val="clear" w:color="auto" w:fill="F2F7FC"/>
          </w:tcPr>
          <w:p>
            <w:r>
              <w:rPr>
                <w:color w:val="404040"/>
                <w:sz w:val="18"/>
              </w:rPr>
              <w:t>0.448</w:t>
            </w:r>
          </w:p>
        </w:tc>
        <w:tc>
          <w:tcPr>
            <w:tcW w:type="dxa" w:w="1728"/>
            <w:shd w:val="clear" w:color="auto" w:fill="F2F7FC"/>
          </w:tcPr>
          <w:p>
            <w:r>
              <w:rPr>
                <w:color w:val="404040"/>
                <w:sz w:val="18"/>
              </w:rPr>
              <w:t>0.456</w:t>
            </w:r>
          </w:p>
        </w:tc>
      </w:tr>
      <w:tr>
        <w:tc>
          <w:tcPr>
            <w:tcW w:type="dxa" w:w="2880"/>
            <w:shd w:val="clear" w:color="auto" w:fill="FFFFFF"/>
          </w:tcPr>
          <w:p>
            <w:r>
              <w:rPr>
                <w:b/>
                <w:color w:val="404040"/>
                <w:sz w:val="18"/>
              </w:rPr>
              <w:t>ARIMA</w:t>
            </w:r>
          </w:p>
        </w:tc>
        <w:tc>
          <w:tcPr>
            <w:tcW w:type="dxa" w:w="1728"/>
            <w:shd w:val="clear" w:color="auto" w:fill="FFFFFF"/>
          </w:tcPr>
          <w:p>
            <w:r>
              <w:rPr>
                <w:color w:val="404040"/>
                <w:sz w:val="18"/>
              </w:rPr>
              <w:t>0.417</w:t>
            </w:r>
          </w:p>
        </w:tc>
        <w:tc>
          <w:tcPr>
            <w:tcW w:type="dxa" w:w="1728"/>
            <w:shd w:val="clear" w:color="auto" w:fill="FFFFFF"/>
          </w:tcPr>
          <w:p>
            <w:r>
              <w:rPr>
                <w:color w:val="404040"/>
                <w:sz w:val="18"/>
              </w:rPr>
              <w:t>0.401</w:t>
            </w:r>
          </w:p>
        </w:tc>
        <w:tc>
          <w:tcPr>
            <w:tcW w:type="dxa" w:w="1728"/>
            <w:shd w:val="clear" w:color="auto" w:fill="FFFFFF"/>
          </w:tcPr>
          <w:p>
            <w:r>
              <w:rPr>
                <w:color w:val="404040"/>
                <w:sz w:val="18"/>
              </w:rPr>
              <w:t>0.384</w:t>
            </w:r>
          </w:p>
        </w:tc>
      </w:tr>
      <w:tr>
        <w:tc>
          <w:tcPr>
            <w:tcW w:type="dxa" w:w="2880"/>
            <w:shd w:val="clear" w:color="auto" w:fill="F2F7FC"/>
          </w:tcPr>
          <w:p>
            <w:r>
              <w:rPr>
                <w:b/>
                <w:color w:val="404040"/>
                <w:sz w:val="18"/>
              </w:rPr>
              <w:t>VAR</w:t>
            </w:r>
          </w:p>
        </w:tc>
        <w:tc>
          <w:tcPr>
            <w:tcW w:type="dxa" w:w="1728"/>
            <w:shd w:val="clear" w:color="auto" w:fill="F2F7FC"/>
          </w:tcPr>
          <w:p>
            <w:r>
              <w:rPr>
                <w:color w:val="404040"/>
                <w:sz w:val="18"/>
              </w:rPr>
              <w:t>0.406</w:t>
            </w:r>
          </w:p>
        </w:tc>
        <w:tc>
          <w:tcPr>
            <w:tcW w:type="dxa" w:w="1728"/>
            <w:shd w:val="clear" w:color="auto" w:fill="F2F7FC"/>
          </w:tcPr>
          <w:p>
            <w:r>
              <w:rPr>
                <w:color w:val="404040"/>
                <w:sz w:val="18"/>
              </w:rPr>
              <w:t>0.413</w:t>
            </w:r>
          </w:p>
        </w:tc>
        <w:tc>
          <w:tcPr>
            <w:tcW w:type="dxa" w:w="1728"/>
            <w:shd w:val="clear" w:color="auto" w:fill="F2F7FC"/>
          </w:tcPr>
          <w:p>
            <w:r>
              <w:rPr>
                <w:color w:val="404040"/>
                <w:sz w:val="18"/>
              </w:rPr>
              <w:t>0.494</w:t>
            </w:r>
          </w:p>
        </w:tc>
      </w:tr>
      <w:tr>
        <w:tc>
          <w:tcPr>
            <w:tcW w:type="dxa" w:w="2880"/>
            <w:shd w:val="clear" w:color="auto" w:fill="FFFFFF"/>
          </w:tcPr>
          <w:p>
            <w:r>
              <w:rPr>
                <w:b/>
                <w:color w:val="404040"/>
                <w:sz w:val="18"/>
              </w:rPr>
              <w:t>Ridge</w:t>
            </w:r>
          </w:p>
        </w:tc>
        <w:tc>
          <w:tcPr>
            <w:tcW w:type="dxa" w:w="1728"/>
            <w:shd w:val="clear" w:color="auto" w:fill="FFFFFF"/>
          </w:tcPr>
          <w:p>
            <w:r>
              <w:rPr>
                <w:color w:val="404040"/>
                <w:sz w:val="18"/>
              </w:rPr>
              <w:t>0.276</w:t>
            </w:r>
          </w:p>
        </w:tc>
        <w:tc>
          <w:tcPr>
            <w:tcW w:type="dxa" w:w="1728"/>
            <w:shd w:val="clear" w:color="auto" w:fill="FFFFFF"/>
          </w:tcPr>
          <w:p>
            <w:r>
              <w:rPr>
                <w:color w:val="404040"/>
                <w:sz w:val="18"/>
              </w:rPr>
              <w:t>0.266</w:t>
            </w:r>
          </w:p>
        </w:tc>
        <w:tc>
          <w:tcPr>
            <w:tcW w:type="dxa" w:w="1728"/>
            <w:shd w:val="clear" w:color="auto" w:fill="FFFFFF"/>
          </w:tcPr>
          <w:p>
            <w:r>
              <w:rPr>
                <w:color w:val="404040"/>
                <w:sz w:val="18"/>
              </w:rPr>
              <w:t>0.945</w:t>
            </w:r>
          </w:p>
        </w:tc>
      </w:tr>
      <w:tr>
        <w:tc>
          <w:tcPr>
            <w:tcW w:type="dxa" w:w="2880"/>
            <w:shd w:val="clear" w:color="auto" w:fill="F2F7FC"/>
          </w:tcPr>
          <w:p>
            <w:r>
              <w:rPr>
                <w:b/>
                <w:color w:val="404040"/>
                <w:sz w:val="18"/>
              </w:rPr>
              <w:t>Lasso</w:t>
            </w:r>
          </w:p>
        </w:tc>
        <w:tc>
          <w:tcPr>
            <w:tcW w:type="dxa" w:w="1728"/>
            <w:shd w:val="clear" w:color="auto" w:fill="F2F7FC"/>
          </w:tcPr>
          <w:p>
            <w:r>
              <w:rPr>
                <w:color w:val="404040"/>
                <w:sz w:val="18"/>
              </w:rPr>
              <w:t>0.147</w:t>
            </w:r>
          </w:p>
        </w:tc>
        <w:tc>
          <w:tcPr>
            <w:tcW w:type="dxa" w:w="1728"/>
            <w:shd w:val="clear" w:color="auto" w:fill="F2F7FC"/>
          </w:tcPr>
          <w:p>
            <w:r>
              <w:rPr>
                <w:color w:val="404040"/>
                <w:sz w:val="18"/>
              </w:rPr>
              <w:t>0.204</w:t>
            </w:r>
          </w:p>
        </w:tc>
        <w:tc>
          <w:tcPr>
            <w:tcW w:type="dxa" w:w="1728"/>
            <w:shd w:val="clear" w:color="auto" w:fill="F2F7FC"/>
          </w:tcPr>
          <w:p>
            <w:r>
              <w:rPr>
                <w:color w:val="404040"/>
                <w:sz w:val="18"/>
              </w:rPr>
              <w:t>0.337</w:t>
            </w:r>
          </w:p>
        </w:tc>
      </w:tr>
      <w:tr>
        <w:tc>
          <w:tcPr>
            <w:tcW w:type="dxa" w:w="2880"/>
            <w:shd w:val="clear" w:color="auto" w:fill="FFFFFF"/>
          </w:tcPr>
          <w:p>
            <w:r>
              <w:rPr>
                <w:b/>
                <w:color w:val="404040"/>
                <w:sz w:val="18"/>
              </w:rPr>
              <w:t>Random Forest</w:t>
            </w:r>
          </w:p>
        </w:tc>
        <w:tc>
          <w:tcPr>
            <w:tcW w:type="dxa" w:w="1728"/>
            <w:shd w:val="clear" w:color="auto" w:fill="FFFFFF"/>
          </w:tcPr>
          <w:p>
            <w:r>
              <w:rPr>
                <w:color w:val="404040"/>
                <w:sz w:val="18"/>
              </w:rPr>
              <w:t>0.276</w:t>
            </w:r>
          </w:p>
        </w:tc>
        <w:tc>
          <w:tcPr>
            <w:tcW w:type="dxa" w:w="1728"/>
            <w:shd w:val="clear" w:color="auto" w:fill="FFFFFF"/>
          </w:tcPr>
          <w:p>
            <w:r>
              <w:rPr>
                <w:color w:val="404040"/>
                <w:sz w:val="18"/>
              </w:rPr>
              <w:t>0.382</w:t>
            </w:r>
          </w:p>
        </w:tc>
        <w:tc>
          <w:tcPr>
            <w:tcW w:type="dxa" w:w="1728"/>
            <w:shd w:val="clear" w:color="auto" w:fill="FFFFFF"/>
          </w:tcPr>
          <w:p>
            <w:r>
              <w:rPr>
                <w:color w:val="404040"/>
                <w:sz w:val="18"/>
              </w:rPr>
              <w:t>0.611</w:t>
            </w:r>
          </w:p>
        </w:tc>
      </w:tr>
      <w:tr>
        <w:tc>
          <w:tcPr>
            <w:tcW w:type="dxa" w:w="2880"/>
            <w:shd w:val="clear" w:color="auto" w:fill="F2F7FC"/>
          </w:tcPr>
          <w:p>
            <w:r>
              <w:rPr>
                <w:b/>
                <w:color w:val="404040"/>
                <w:sz w:val="18"/>
              </w:rPr>
              <w:t>XGBoost</w:t>
            </w:r>
          </w:p>
        </w:tc>
        <w:tc>
          <w:tcPr>
            <w:tcW w:type="dxa" w:w="1728"/>
            <w:shd w:val="clear" w:color="auto" w:fill="F2F7FC"/>
          </w:tcPr>
          <w:p>
            <w:r>
              <w:rPr>
                <w:color w:val="404040"/>
                <w:sz w:val="18"/>
              </w:rPr>
              <w:t>0.263</w:t>
            </w:r>
          </w:p>
        </w:tc>
        <w:tc>
          <w:tcPr>
            <w:tcW w:type="dxa" w:w="1728"/>
            <w:shd w:val="clear" w:color="auto" w:fill="F2F7FC"/>
          </w:tcPr>
          <w:p>
            <w:r>
              <w:rPr>
                <w:color w:val="404040"/>
                <w:sz w:val="18"/>
              </w:rPr>
              <w:t>0.303</w:t>
            </w:r>
          </w:p>
        </w:tc>
        <w:tc>
          <w:tcPr>
            <w:tcW w:type="dxa" w:w="1728"/>
            <w:shd w:val="clear" w:color="auto" w:fill="F2F7FC"/>
          </w:tcPr>
          <w:p>
            <w:r>
              <w:rPr>
                <w:color w:val="404040"/>
                <w:sz w:val="18"/>
              </w:rPr>
              <w:t>0.523</w:t>
            </w:r>
          </w:p>
        </w:tc>
      </w:tr>
    </w:tbl>
    <w:p/>
    <w:p>
      <w:pPr>
        <w:spacing w:before="240" w:after="60"/>
      </w:pPr>
      <w:r>
        <w:rPr>
          <w:b/>
          <w:color w:val="2E75B6"/>
          <w:sz w:val="22"/>
        </w:rPr>
        <w:t>6.5 Sub-Period Performance — Unemployment (h=1 RMSE)</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880"/>
            <w:shd w:val="clear" w:color="auto" w:fill="1F3964"/>
          </w:tcPr>
          <w:p>
            <w:pPr>
              <w:jc w:val="center"/>
            </w:pPr>
            <w:r>
              <w:rPr>
                <w:b/>
                <w:color w:val="FFFFFF"/>
                <w:sz w:val="18"/>
              </w:rPr>
              <w:t>Model</w:t>
            </w:r>
          </w:p>
        </w:tc>
        <w:tc>
          <w:tcPr>
            <w:tcW w:type="dxa" w:w="1728"/>
            <w:shd w:val="clear" w:color="auto" w:fill="1F3964"/>
          </w:tcPr>
          <w:p>
            <w:pPr>
              <w:jc w:val="center"/>
            </w:pPr>
            <w:r>
              <w:rPr>
                <w:b/>
                <w:color w:val="FFFFFF"/>
                <w:sz w:val="18"/>
              </w:rPr>
              <w:t>Pre-2008</w:t>
            </w:r>
          </w:p>
        </w:tc>
        <w:tc>
          <w:tcPr>
            <w:tcW w:type="dxa" w:w="1728"/>
            <w:shd w:val="clear" w:color="auto" w:fill="1F3964"/>
          </w:tcPr>
          <w:p>
            <w:pPr>
              <w:jc w:val="center"/>
            </w:pPr>
            <w:r>
              <w:rPr>
                <w:b/>
                <w:color w:val="FFFFFF"/>
                <w:sz w:val="18"/>
              </w:rPr>
              <w:t>2008–2019</w:t>
            </w:r>
          </w:p>
        </w:tc>
        <w:tc>
          <w:tcPr>
            <w:tcW w:type="dxa" w:w="1728"/>
            <w:shd w:val="clear" w:color="auto" w:fill="1F3964"/>
          </w:tcPr>
          <w:p>
            <w:pPr>
              <w:jc w:val="center"/>
            </w:pPr>
            <w:r>
              <w:rPr>
                <w:b/>
                <w:color w:val="FFFFFF"/>
                <w:sz w:val="18"/>
              </w:rPr>
              <w:t>2020+</w:t>
            </w:r>
          </w:p>
        </w:tc>
      </w:tr>
      <w:tr>
        <w:tc>
          <w:tcPr>
            <w:tcW w:type="dxa" w:w="2880"/>
            <w:shd w:val="clear" w:color="auto" w:fill="F2F7FC"/>
          </w:tcPr>
          <w:p>
            <w:r>
              <w:rPr>
                <w:b/>
                <w:color w:val="404040"/>
                <w:sz w:val="18"/>
              </w:rPr>
              <w:t>Naive</w:t>
            </w:r>
          </w:p>
        </w:tc>
        <w:tc>
          <w:tcPr>
            <w:tcW w:type="dxa" w:w="1728"/>
            <w:shd w:val="clear" w:color="auto" w:fill="F2F7FC"/>
          </w:tcPr>
          <w:p>
            <w:r>
              <w:rPr>
                <w:color w:val="404040"/>
                <w:sz w:val="18"/>
              </w:rPr>
              <w:t>0.126</w:t>
            </w:r>
          </w:p>
        </w:tc>
        <w:tc>
          <w:tcPr>
            <w:tcW w:type="dxa" w:w="1728"/>
            <w:shd w:val="clear" w:color="auto" w:fill="F2F7FC"/>
          </w:tcPr>
          <w:p>
            <w:r>
              <w:rPr>
                <w:color w:val="404040"/>
                <w:sz w:val="18"/>
              </w:rPr>
              <w:t>0.178</w:t>
            </w:r>
          </w:p>
        </w:tc>
        <w:tc>
          <w:tcPr>
            <w:tcW w:type="dxa" w:w="1728"/>
            <w:shd w:val="clear" w:color="auto" w:fill="F2F7FC"/>
          </w:tcPr>
          <w:p>
            <w:r>
              <w:rPr>
                <w:color w:val="404040"/>
                <w:sz w:val="18"/>
              </w:rPr>
              <w:t>1.299</w:t>
            </w:r>
          </w:p>
        </w:tc>
      </w:tr>
      <w:tr>
        <w:tc>
          <w:tcPr>
            <w:tcW w:type="dxa" w:w="2880"/>
            <w:shd w:val="clear" w:color="auto" w:fill="FFFFFF"/>
          </w:tcPr>
          <w:p>
            <w:r>
              <w:rPr>
                <w:b/>
                <w:color w:val="404040"/>
                <w:sz w:val="18"/>
              </w:rPr>
              <w:t>ARIMA</w:t>
            </w:r>
          </w:p>
        </w:tc>
        <w:tc>
          <w:tcPr>
            <w:tcW w:type="dxa" w:w="1728"/>
            <w:shd w:val="clear" w:color="auto" w:fill="FFFFFF"/>
          </w:tcPr>
          <w:p>
            <w:r>
              <w:rPr>
                <w:color w:val="404040"/>
                <w:sz w:val="18"/>
              </w:rPr>
              <w:t>0.129</w:t>
            </w:r>
          </w:p>
        </w:tc>
        <w:tc>
          <w:tcPr>
            <w:tcW w:type="dxa" w:w="1728"/>
            <w:shd w:val="clear" w:color="auto" w:fill="FFFFFF"/>
          </w:tcPr>
          <w:p>
            <w:r>
              <w:rPr>
                <w:color w:val="404040"/>
                <w:sz w:val="18"/>
              </w:rPr>
              <w:t>0.160</w:t>
            </w:r>
          </w:p>
        </w:tc>
        <w:tc>
          <w:tcPr>
            <w:tcW w:type="dxa" w:w="1728"/>
            <w:shd w:val="clear" w:color="auto" w:fill="FFFFFF"/>
          </w:tcPr>
          <w:p>
            <w:r>
              <w:rPr>
                <w:color w:val="404040"/>
                <w:sz w:val="18"/>
              </w:rPr>
              <w:t>2.135</w:t>
            </w:r>
          </w:p>
        </w:tc>
      </w:tr>
      <w:tr>
        <w:tc>
          <w:tcPr>
            <w:tcW w:type="dxa" w:w="2880"/>
            <w:shd w:val="clear" w:color="auto" w:fill="F2F7FC"/>
          </w:tcPr>
          <w:p>
            <w:r>
              <w:rPr>
                <w:b/>
                <w:color w:val="404040"/>
                <w:sz w:val="18"/>
              </w:rPr>
              <w:t>VAR</w:t>
            </w:r>
          </w:p>
        </w:tc>
        <w:tc>
          <w:tcPr>
            <w:tcW w:type="dxa" w:w="1728"/>
            <w:shd w:val="clear" w:color="auto" w:fill="F2F7FC"/>
          </w:tcPr>
          <w:p>
            <w:r>
              <w:rPr>
                <w:color w:val="404040"/>
                <w:sz w:val="18"/>
              </w:rPr>
              <w:t>0.130</w:t>
            </w:r>
          </w:p>
        </w:tc>
        <w:tc>
          <w:tcPr>
            <w:tcW w:type="dxa" w:w="1728"/>
            <w:shd w:val="clear" w:color="auto" w:fill="F2F7FC"/>
          </w:tcPr>
          <w:p>
            <w:r>
              <w:rPr>
                <w:color w:val="404040"/>
                <w:sz w:val="18"/>
              </w:rPr>
              <w:t>0.162</w:t>
            </w:r>
          </w:p>
        </w:tc>
        <w:tc>
          <w:tcPr>
            <w:tcW w:type="dxa" w:w="1728"/>
            <w:shd w:val="clear" w:color="auto" w:fill="F2F7FC"/>
          </w:tcPr>
          <w:p>
            <w:r>
              <w:rPr>
                <w:color w:val="404040"/>
                <w:sz w:val="18"/>
              </w:rPr>
              <w:t>2.029</w:t>
            </w:r>
          </w:p>
        </w:tc>
      </w:tr>
      <w:tr>
        <w:tc>
          <w:tcPr>
            <w:tcW w:type="dxa" w:w="2880"/>
            <w:shd w:val="clear" w:color="auto" w:fill="FFFFFF"/>
          </w:tcPr>
          <w:p>
            <w:r>
              <w:rPr>
                <w:b/>
                <w:color w:val="404040"/>
                <w:sz w:val="18"/>
              </w:rPr>
              <w:t>Ridge</w:t>
            </w:r>
          </w:p>
        </w:tc>
        <w:tc>
          <w:tcPr>
            <w:tcW w:type="dxa" w:w="1728"/>
            <w:shd w:val="clear" w:color="auto" w:fill="FFFFFF"/>
          </w:tcPr>
          <w:p>
            <w:r>
              <w:rPr>
                <w:color w:val="404040"/>
                <w:sz w:val="18"/>
              </w:rPr>
              <w:t>0.143</w:t>
            </w:r>
          </w:p>
        </w:tc>
        <w:tc>
          <w:tcPr>
            <w:tcW w:type="dxa" w:w="1728"/>
            <w:shd w:val="clear" w:color="auto" w:fill="FFFFFF"/>
          </w:tcPr>
          <w:p>
            <w:r>
              <w:rPr>
                <w:color w:val="404040"/>
                <w:sz w:val="18"/>
              </w:rPr>
              <w:t>0.123</w:t>
            </w:r>
          </w:p>
        </w:tc>
        <w:tc>
          <w:tcPr>
            <w:tcW w:type="dxa" w:w="1728"/>
            <w:shd w:val="clear" w:color="auto" w:fill="FFFFFF"/>
          </w:tcPr>
          <w:p>
            <w:r>
              <w:rPr>
                <w:color w:val="404040"/>
                <w:sz w:val="18"/>
              </w:rPr>
              <w:t>4.445</w:t>
            </w:r>
          </w:p>
        </w:tc>
      </w:tr>
      <w:tr>
        <w:tc>
          <w:tcPr>
            <w:tcW w:type="dxa" w:w="2880"/>
            <w:shd w:val="clear" w:color="auto" w:fill="F2F7FC"/>
          </w:tcPr>
          <w:p>
            <w:r>
              <w:rPr>
                <w:b/>
                <w:color w:val="404040"/>
                <w:sz w:val="18"/>
              </w:rPr>
              <w:t>Lasso</w:t>
            </w:r>
          </w:p>
        </w:tc>
        <w:tc>
          <w:tcPr>
            <w:tcW w:type="dxa" w:w="1728"/>
            <w:shd w:val="clear" w:color="auto" w:fill="F2F7FC"/>
          </w:tcPr>
          <w:p>
            <w:r>
              <w:rPr>
                <w:color w:val="404040"/>
                <w:sz w:val="18"/>
              </w:rPr>
              <w:t>0.079</w:t>
            </w:r>
          </w:p>
        </w:tc>
        <w:tc>
          <w:tcPr>
            <w:tcW w:type="dxa" w:w="1728"/>
            <w:shd w:val="clear" w:color="auto" w:fill="F2F7FC"/>
          </w:tcPr>
          <w:p>
            <w:r>
              <w:rPr>
                <w:color w:val="404040"/>
                <w:sz w:val="18"/>
              </w:rPr>
              <w:t>0.123</w:t>
            </w:r>
          </w:p>
        </w:tc>
        <w:tc>
          <w:tcPr>
            <w:tcW w:type="dxa" w:w="1728"/>
            <w:shd w:val="clear" w:color="auto" w:fill="F2F7FC"/>
          </w:tcPr>
          <w:p>
            <w:r>
              <w:rPr>
                <w:color w:val="404040"/>
                <w:sz w:val="18"/>
              </w:rPr>
              <w:t>3.937</w:t>
            </w:r>
          </w:p>
        </w:tc>
      </w:tr>
      <w:tr>
        <w:tc>
          <w:tcPr>
            <w:tcW w:type="dxa" w:w="2880"/>
            <w:shd w:val="clear" w:color="auto" w:fill="FFFFFF"/>
          </w:tcPr>
          <w:p>
            <w:r>
              <w:rPr>
                <w:b/>
                <w:color w:val="404040"/>
                <w:sz w:val="18"/>
              </w:rPr>
              <w:t>Random Forest</w:t>
            </w:r>
          </w:p>
        </w:tc>
        <w:tc>
          <w:tcPr>
            <w:tcW w:type="dxa" w:w="1728"/>
            <w:shd w:val="clear" w:color="auto" w:fill="FFFFFF"/>
          </w:tcPr>
          <w:p>
            <w:r>
              <w:rPr>
                <w:color w:val="404040"/>
                <w:sz w:val="18"/>
              </w:rPr>
              <w:t>0.142</w:t>
            </w:r>
          </w:p>
        </w:tc>
        <w:tc>
          <w:tcPr>
            <w:tcW w:type="dxa" w:w="1728"/>
            <w:shd w:val="clear" w:color="auto" w:fill="FFFFFF"/>
          </w:tcPr>
          <w:p>
            <w:r>
              <w:rPr>
                <w:color w:val="404040"/>
                <w:sz w:val="18"/>
              </w:rPr>
              <w:t>0.319</w:t>
            </w:r>
          </w:p>
        </w:tc>
        <w:tc>
          <w:tcPr>
            <w:tcW w:type="dxa" w:w="1728"/>
            <w:shd w:val="clear" w:color="auto" w:fill="FFFFFF"/>
          </w:tcPr>
          <w:p>
            <w:r>
              <w:rPr>
                <w:color w:val="404040"/>
                <w:sz w:val="18"/>
              </w:rPr>
              <w:t>0.795</w:t>
            </w:r>
          </w:p>
        </w:tc>
      </w:tr>
      <w:tr>
        <w:tc>
          <w:tcPr>
            <w:tcW w:type="dxa" w:w="2880"/>
            <w:shd w:val="clear" w:color="auto" w:fill="F2F7FC"/>
          </w:tcPr>
          <w:p>
            <w:r>
              <w:rPr>
                <w:b/>
                <w:color w:val="404040"/>
                <w:sz w:val="18"/>
              </w:rPr>
              <w:t>XGBoost</w:t>
            </w:r>
          </w:p>
        </w:tc>
        <w:tc>
          <w:tcPr>
            <w:tcW w:type="dxa" w:w="1728"/>
            <w:shd w:val="clear" w:color="auto" w:fill="F2F7FC"/>
          </w:tcPr>
          <w:p>
            <w:r>
              <w:rPr>
                <w:color w:val="404040"/>
                <w:sz w:val="18"/>
              </w:rPr>
              <w:t>0.113</w:t>
            </w:r>
          </w:p>
        </w:tc>
        <w:tc>
          <w:tcPr>
            <w:tcW w:type="dxa" w:w="1728"/>
            <w:shd w:val="clear" w:color="auto" w:fill="F2F7FC"/>
          </w:tcPr>
          <w:p>
            <w:r>
              <w:rPr>
                <w:color w:val="404040"/>
                <w:sz w:val="18"/>
              </w:rPr>
              <w:t>0.243</w:t>
            </w:r>
          </w:p>
        </w:tc>
        <w:tc>
          <w:tcPr>
            <w:tcW w:type="dxa" w:w="1728"/>
            <w:shd w:val="clear" w:color="auto" w:fill="F2F7FC"/>
          </w:tcPr>
          <w:p>
            <w:r>
              <w:rPr>
                <w:color w:val="404040"/>
                <w:sz w:val="18"/>
              </w:rPr>
              <w:t>0.492</w:t>
            </w:r>
          </w:p>
        </w:tc>
      </w:tr>
    </w:tbl>
    <w:p/>
    <w:p>
      <w:pPr>
        <w:spacing w:before="240" w:after="60"/>
      </w:pPr>
      <w:r>
        <w:rPr>
          <w:b/>
          <w:color w:val="2E75B6"/>
          <w:sz w:val="22"/>
        </w:rPr>
        <w:t>6.6 Day 8 Tuning Results</w:t>
      </w:r>
    </w:p>
    <w:p>
      <w:pPr>
        <w:spacing w:after="120"/>
      </w:pPr>
      <w:r>
        <w:rPr>
          <w:color w:val="404040"/>
          <w:sz w:val="20"/>
        </w:rPr>
        <w:t>Model hyperparameters were reviewed and adjusted following the Day 7 diagnostic phase. Results compared to original (Day 5) specifications:</w:t>
      </w:r>
    </w:p>
    <w:tbl>
      <w:tblPr>
        <w:tblStyle w:val="TableGrid"/>
        <w:tblW w:type="auto" w:w="0"/>
        <w:jc w:val="left"/>
        <w:tblLook w:firstColumn="1" w:firstRow="1" w:lastColumn="0" w:lastRow="0" w:noHBand="0" w:noVBand="1" w:val="04A0"/>
      </w:tblPr>
      <w:tblGrid>
        <w:gridCol w:w="3041"/>
        <w:gridCol w:w="3041"/>
        <w:gridCol w:w="3041"/>
      </w:tblGrid>
      <w:tr>
        <w:tc>
          <w:tcPr>
            <w:tcW w:type="dxa" w:w="3456"/>
            <w:shd w:val="clear" w:color="auto" w:fill="1F3964"/>
          </w:tcPr>
          <w:p>
            <w:pPr>
              <w:jc w:val="center"/>
            </w:pPr>
            <w:r>
              <w:rPr>
                <w:b/>
                <w:color w:val="FFFFFF"/>
                <w:sz w:val="18"/>
              </w:rPr>
              <w:t>Change</w:t>
            </w:r>
          </w:p>
        </w:tc>
        <w:tc>
          <w:tcPr>
            <w:tcW w:type="dxa" w:w="3600"/>
            <w:shd w:val="clear" w:color="auto" w:fill="1F3964"/>
          </w:tcPr>
          <w:p>
            <w:pPr>
              <w:jc w:val="center"/>
            </w:pPr>
            <w:r>
              <w:rPr>
                <w:b/>
                <w:color w:val="FFFFFF"/>
                <w:sz w:val="18"/>
              </w:rPr>
              <w:t>Effect</w:t>
            </w:r>
          </w:p>
        </w:tc>
        <w:tc>
          <w:tcPr>
            <w:tcW w:type="dxa" w:w="1872"/>
            <w:shd w:val="clear" w:color="auto" w:fill="1F3964"/>
          </w:tcPr>
          <w:p>
            <w:pPr>
              <w:jc w:val="center"/>
            </w:pPr>
            <w:r>
              <w:rPr>
                <w:b/>
                <w:color w:val="FFFFFF"/>
                <w:sz w:val="18"/>
              </w:rPr>
              <w:t>Verdict</w:t>
            </w:r>
          </w:p>
        </w:tc>
      </w:tr>
      <w:tr>
        <w:tc>
          <w:tcPr>
            <w:tcW w:type="dxa" w:w="3456"/>
            <w:shd w:val="clear" w:color="auto" w:fill="F2F7FC"/>
          </w:tcPr>
          <w:p>
            <w:r>
              <w:rPr>
                <w:b/>
                <w:color w:val="404040"/>
                <w:sz w:val="18"/>
              </w:rPr>
              <w:t>Auto-ARIMA order selection (AIC grid)</w:t>
            </w:r>
          </w:p>
        </w:tc>
        <w:tc>
          <w:tcPr>
            <w:tcW w:type="dxa" w:w="3600"/>
            <w:shd w:val="clear" w:color="auto" w:fill="F2F7FC"/>
          </w:tcPr>
          <w:p>
            <w:r>
              <w:rPr>
                <w:color w:val="404040"/>
                <w:sz w:val="18"/>
              </w:rPr>
              <w:t>Inflation h=3: 0.979→0.957. Unemployment h=6: 7.003→5.756</w:t>
            </w:r>
          </w:p>
        </w:tc>
        <w:tc>
          <w:tcPr>
            <w:tcW w:type="dxa" w:w="1872"/>
            <w:shd w:val="clear" w:color="auto" w:fill="F2F7FC"/>
          </w:tcPr>
          <w:p>
            <w:r>
              <w:rPr>
                <w:color w:val="404040"/>
                <w:sz w:val="18"/>
              </w:rPr>
              <w:t>Improved ✓</w:t>
            </w:r>
          </w:p>
        </w:tc>
      </w:tr>
      <w:tr>
        <w:tc>
          <w:tcPr>
            <w:tcW w:type="dxa" w:w="3456"/>
            <w:shd w:val="clear" w:color="auto" w:fill="FFFFFF"/>
          </w:tcPr>
          <w:p>
            <w:r>
              <w:rPr>
                <w:b/>
                <w:color w:val="404040"/>
                <w:sz w:val="18"/>
              </w:rPr>
              <w:t>XGBoost: 100→150 estimators</w:t>
            </w:r>
          </w:p>
        </w:tc>
        <w:tc>
          <w:tcPr>
            <w:tcW w:type="dxa" w:w="3600"/>
            <w:shd w:val="clear" w:color="auto" w:fill="FFFFFF"/>
          </w:tcPr>
          <w:p>
            <w:r>
              <w:rPr>
                <w:color w:val="404040"/>
                <w:sz w:val="18"/>
              </w:rPr>
              <w:t>Uniform improvement across cells. Best gain: unemployment h=1 (0.296→0.259)</w:t>
            </w:r>
          </w:p>
        </w:tc>
        <w:tc>
          <w:tcPr>
            <w:tcW w:type="dxa" w:w="1872"/>
            <w:shd w:val="clear" w:color="auto" w:fill="FFFFFF"/>
          </w:tcPr>
          <w:p>
            <w:r>
              <w:rPr>
                <w:color w:val="404040"/>
                <w:sz w:val="18"/>
              </w:rPr>
              <w:t>Improved ✓</w:t>
            </w:r>
          </w:p>
        </w:tc>
      </w:tr>
      <w:tr>
        <w:tc>
          <w:tcPr>
            <w:tcW w:type="dxa" w:w="3456"/>
            <w:shd w:val="clear" w:color="auto" w:fill="F2F7FC"/>
          </w:tcPr>
          <w:p>
            <w:r>
              <w:rPr>
                <w:b/>
                <w:color w:val="404040"/>
                <w:sz w:val="18"/>
              </w:rPr>
              <w:t>Lasso: α 0.01→0.005</w:t>
            </w:r>
          </w:p>
        </w:tc>
        <w:tc>
          <w:tcPr>
            <w:tcW w:type="dxa" w:w="3600"/>
            <w:shd w:val="clear" w:color="auto" w:fill="F2F7FC"/>
          </w:tcPr>
          <w:p>
            <w:r>
              <w:rPr>
                <w:color w:val="404040"/>
                <w:sz w:val="18"/>
              </w:rPr>
              <w:t>Performance worsened across all cells. Original α=0.01 was already optimal.</w:t>
            </w:r>
          </w:p>
        </w:tc>
        <w:tc>
          <w:tcPr>
            <w:tcW w:type="dxa" w:w="1872"/>
            <w:shd w:val="clear" w:color="auto" w:fill="F2F7FC"/>
          </w:tcPr>
          <w:p>
            <w:r>
              <w:rPr>
                <w:color w:val="404040"/>
                <w:sz w:val="18"/>
              </w:rPr>
              <w:t>Reverted ✗</w:t>
            </w:r>
          </w:p>
        </w:tc>
      </w:tr>
      <w:tr>
        <w:tc>
          <w:tcPr>
            <w:tcW w:type="dxa" w:w="3456"/>
            <w:shd w:val="clear" w:color="auto" w:fill="FFFFFF"/>
          </w:tcPr>
          <w:p>
            <w:r>
              <w:rPr>
                <w:b/>
                <w:color w:val="404040"/>
                <w:sz w:val="18"/>
              </w:rPr>
              <w:t>Ridge: α 1.0→0.5</w:t>
            </w:r>
          </w:p>
        </w:tc>
        <w:tc>
          <w:tcPr>
            <w:tcW w:type="dxa" w:w="3600"/>
            <w:shd w:val="clear" w:color="auto" w:fill="FFFFFF"/>
          </w:tcPr>
          <w:p>
            <w:r>
              <w:rPr>
                <w:color w:val="404040"/>
                <w:sz w:val="18"/>
              </w:rPr>
              <w:t>Performance worsened across all cells. Original α=1.0 was already optimal.</w:t>
            </w:r>
          </w:p>
        </w:tc>
        <w:tc>
          <w:tcPr>
            <w:tcW w:type="dxa" w:w="1872"/>
            <w:shd w:val="clear" w:color="auto" w:fill="FFFFFF"/>
          </w:tcPr>
          <w:p>
            <w:r>
              <w:rPr>
                <w:color w:val="404040"/>
                <w:sz w:val="18"/>
              </w:rPr>
              <w:t>Reverted ✗</w:t>
            </w:r>
          </w:p>
        </w:tc>
      </w:tr>
    </w:tbl>
    <w:p>
      <w:pPr>
        <w:spacing w:before="400" w:after="100"/>
      </w:pPr>
      <w:r>
        <w:rPr>
          <w:b/>
          <w:color w:val="1F3964"/>
          <w:sz w:val="28"/>
        </w:rPr>
        <w:t>7. Discussion</w:t>
      </w:r>
    </w:p>
    <w:p>
      <w:pPr>
        <w:spacing w:before="240" w:after="60"/>
      </w:pPr>
      <w:r>
        <w:rPr>
          <w:b/>
          <w:color w:val="2E75B6"/>
          <w:sz w:val="22"/>
        </w:rPr>
        <w:t>7.1 Why XGBoost Dominates at Longer Horizons</w:t>
      </w:r>
    </w:p>
    <w:p>
      <w:pPr>
        <w:spacing w:after="120"/>
      </w:pPr>
      <w:r>
        <w:rPr>
          <w:color w:val="404040"/>
          <w:sz w:val="20"/>
        </w:rPr>
        <w:t>At h=1, the dominant signal for any macro series is its own recent history — autocorrelation structure that ARIMA captures well. As the horizon extends to h=3 and h=6, the autocorrelation signal weakens and the marginal value of additional predictors increases. XGBoost, with access to 84 features including lags of interest rates, output, employment, and sentiment, can exploit cross-variable predictive relationships that are invisible to ARIMA. This finding is consistent with H1.</w:t>
      </w:r>
    </w:p>
    <w:p>
      <w:pPr>
        <w:spacing w:after="120"/>
      </w:pPr>
      <w:r>
        <w:rPr>
          <w:color w:val="404040"/>
          <w:sz w:val="20"/>
        </w:rPr>
        <w:t>Feature importance analysis reinforces this interpretation. XGBoost distributes importance across many features — recent lags of unemployment (lag1: 0.122, lag2: 0.119, lag3: 0.090) and the 10-year Treasury rate (lag6: 0.123) all contribute meaningfully. The model has genuinely learned that financial conditions today predict economic outcomes 3–6 months from now.</w:t>
      </w:r>
    </w:p>
    <w:p>
      <w:pPr>
        <w:spacing w:before="240" w:after="60"/>
      </w:pPr>
      <w:r>
        <w:rPr>
          <w:b/>
          <w:color w:val="2E75B6"/>
          <w:sz w:val="22"/>
        </w:rPr>
        <w:t>7.2 Why Lasso Wins at Short-Horizon Inflation</w:t>
      </w:r>
    </w:p>
    <w:p>
      <w:pPr>
        <w:spacing w:after="120"/>
      </w:pPr>
      <w:r>
        <w:rPr>
          <w:color w:val="404040"/>
          <w:sz w:val="20"/>
        </w:rPr>
        <w:t>Lasso's superiority at h=1 inflation (RMSE: 0.278 vs ARIMA's 0.402) reflects its ability to select a tight, stable set of predictors and discard noise. In a 84-feature space, most lagged variables carry little marginal signal for one-month-ahead inflation. Lasso effectively reduces to a parsimonious model that captures the most persistent signals — recent CPI momentum and a small number of financial variables — while ignoring the rest. ARIMA, restricted to the univariate series, cannot access these cross-variable signals and so performs inferiorly. This partially supports H2: classical models remain competitive at h=1, but Lasso — itself a relatively simple model — surpasses them.</w:t>
      </w:r>
    </w:p>
    <w:p>
      <w:pPr>
        <w:spacing w:before="240" w:after="60"/>
      </w:pPr>
      <w:r>
        <w:rPr>
          <w:b/>
          <w:color w:val="2E75B6"/>
          <w:sz w:val="22"/>
        </w:rPr>
        <w:t>7.3 The COVID-19 Stress Test and the Failure of Linear Models</w:t>
      </w:r>
    </w:p>
    <w:p>
      <w:pPr>
        <w:spacing w:after="120"/>
      </w:pPr>
      <w:r>
        <w:rPr>
          <w:color w:val="404040"/>
          <w:sz w:val="20"/>
        </w:rPr>
        <w:t>The unemployment results in the 2020+ sub-period are the project's most striking finding. Unemployment rose from 3.5% to 14.8% in April 2020 and largely recovered within four months. This constitutes an event with no precedent in the training data.</w:t>
      </w:r>
    </w:p>
    <w:p>
      <w:pPr>
        <w:spacing w:after="120"/>
      </w:pPr>
      <w:r>
        <w:rPr>
          <w:color w:val="404040"/>
          <w:sz w:val="20"/>
        </w:rPr>
        <w:t>ARIMA's h=6 unemployment RMSE reached 5.756 in the full sample — a 311% deterioration relative to the naive benchmark's 1.400. The mechanism is straightforward: ARIMA models unemployment as a smooth autoregressive process and extrapolated the spike as a persistent upward trend, generating forecasts far above any subsequent realisation.</w:t>
      </w:r>
    </w:p>
    <w:p>
      <w:pPr>
        <w:spacing w:after="120"/>
      </w:pPr>
      <w:r>
        <w:rPr>
          <w:color w:val="404040"/>
          <w:sz w:val="20"/>
        </w:rPr>
        <w:t>Ridge and Lasso failed even more severely (2020+ RMSE: 4.445 and 3.937 respectively). As linear models, they face the same fundamental limitation: in a training set dominated by low-volatility observations, a linear model calibrated to normal times will extrapolate extreme values as persistent rather than transient.</w:t>
      </w:r>
    </w:p>
    <w:p>
      <w:pPr>
        <w:spacing w:after="120"/>
      </w:pPr>
      <w:r>
        <w:rPr>
          <w:color w:val="404040"/>
          <w:sz w:val="20"/>
        </w:rPr>
        <w:t>XGBoost's 2020+ RMSE for unemployment at h=1 was 0.492 — below the naive benchmark's 1.299. Decision trees partition the feature space into regions and predict the average outcome within each region. When unemployment spikes to 14.8%, the tree routes to a region it has seen before (high unemployment during the 2009 recession) and predicts reversion rather than continuation. This structural property makes tree-based models naturally more robust to shocks. H3 is strongly confirmed.</w:t>
      </w:r>
    </w:p>
    <w:p>
      <w:pPr>
        <w:spacing w:before="240" w:after="60"/>
      </w:pPr>
      <w:r>
        <w:rPr>
          <w:b/>
          <w:color w:val="2E75B6"/>
          <w:sz w:val="22"/>
        </w:rPr>
        <w:t>7.4 The Paradox of the Phillips Curve</w:t>
      </w:r>
    </w:p>
    <w:p>
      <w:pPr>
        <w:spacing w:after="120"/>
      </w:pPr>
      <w:r>
        <w:rPr>
          <w:color w:val="404040"/>
          <w:sz w:val="20"/>
        </w:rPr>
        <w:t>Exploratory data analysis revealed that the classical inverse relationship between inflation and unemployment — the Phillips Curve — has broken down substantially over the sample period. The 2022 episode, in which inflation reached 9% while unemployment remained near 3.5%, represents an outright violation of the traditional relationship.</w:t>
      </w:r>
    </w:p>
    <w:p>
      <w:pPr>
        <w:spacing w:after="120"/>
      </w:pPr>
      <w:r>
        <w:rPr>
          <w:color w:val="404040"/>
          <w:sz w:val="20"/>
        </w:rPr>
        <w:t>This breakdown provides indirect support for the ML approach: if the structural relationships between macro variables are time-varying and potentially nonlinear, then models that can adapt to those changes — through feature selection (Lasso) or nonlinear partitioning (XGBoost) — should outperform models that assume fixed linear dynamics (ARIMA, VAR). The results confirm this expectation.</w:t>
      </w:r>
    </w:p>
    <w:p>
      <w:pPr>
        <w:spacing w:before="240" w:after="60"/>
      </w:pPr>
      <w:r>
        <w:rPr>
          <w:b/>
          <w:color w:val="2E75B6"/>
          <w:sz w:val="22"/>
        </w:rPr>
        <w:t>7.5 What the Models Pay Attention To</w:t>
      </w:r>
    </w:p>
    <w:p>
      <w:pPr>
        <w:spacing w:after="120"/>
      </w:pPr>
      <w:r>
        <w:rPr>
          <w:color w:val="404040"/>
          <w:sz w:val="20"/>
        </w:rPr>
        <w:t>Random Forest concentrates 75% of its importance weight on the current level of unemployment and inflation — it behaves as a sophisticated persistence model. The additional 84-feature set adds relatively little marginal value for RF. XGBoost, by contrast, distributes importance more evenly across lags and cross-variable predictors, genuinely exploiting the information in the full feature matrix.</w:t>
      </w:r>
    </w:p>
    <w:p>
      <w:pPr>
        <w:spacing w:after="120"/>
      </w:pPr>
      <w:r>
        <w:rPr>
          <w:color w:val="404040"/>
          <w:sz w:val="20"/>
        </w:rPr>
        <w:t>Two variables appear consistently across both models and all horizons: the 10-year Treasury yield and the yield spread (10Y minus 3M). This aligns with decades of empirical evidence that the yield curve is a leading indicator for both economic activity and inflation — and confirms that these variables carry genuine predictive signal beyond what is already contained in the inflation and unemployment series themselves.</w:t>
      </w:r>
    </w:p>
    <w:p>
      <w:pPr>
        <w:spacing w:before="400" w:after="100"/>
      </w:pPr>
      <w:r>
        <w:rPr>
          <w:b/>
          <w:color w:val="1F3964"/>
          <w:sz w:val="28"/>
        </w:rPr>
        <w:t>8. Conclusions</w:t>
      </w:r>
    </w:p>
    <w:p>
      <w:pPr>
        <w:spacing w:after="120"/>
      </w:pPr>
      <w:r>
        <w:rPr>
          <w:color w:val="404040"/>
          <w:sz w:val="20"/>
        </w:rPr>
        <w:t>This project set out to answer a direct empirical question: does machine learning add value over traditional econometric models in forecasting U.S. inflation and unemployment? The answer is yes — but with meaningful nuance.</w:t>
      </w:r>
    </w:p>
    <w:p>
      <w:pPr>
        <w:pStyle w:val="ListBullet"/>
        <w:spacing w:after="60"/>
      </w:pPr>
      <w:r>
        <w:rPr>
          <w:b/>
          <w:color w:val="1F3964"/>
          <w:sz w:val="20"/>
        </w:rPr>
        <w:t xml:space="preserve">Finding 1:  </w:t>
      </w:r>
      <w:r>
        <w:rPr>
          <w:color w:val="404040"/>
          <w:sz w:val="20"/>
        </w:rPr>
        <w:t>XGBoost is the strongest overall forecasting model, winning five of six target-horizon combinations. Its gains over the naive benchmark are 25% at inflation h=1, 24% at inflation h=3, and 42% at inflation h=6. For unemployment, it beats the naive benchmark by 60% at h=1 and 32% at h=6.</w:t>
      </w:r>
    </w:p>
    <w:p>
      <w:pPr>
        <w:pStyle w:val="ListBullet"/>
        <w:spacing w:after="60"/>
      </w:pPr>
      <w:r>
        <w:rPr>
          <w:b/>
          <w:color w:val="1F3964"/>
          <w:sz w:val="20"/>
        </w:rPr>
        <w:t xml:space="preserve">Finding 2:  </w:t>
      </w:r>
      <w:r>
        <w:rPr>
          <w:color w:val="404040"/>
          <w:sz w:val="20"/>
        </w:rPr>
        <w:t>Lasso regression is the best model for short-horizon inflation (h=1), beating ARIMA by 31% and the naive benchmark by 38%. Its variable-selection mechanism identifies a sparse, stable set of predictors that outperforms both classical models and more complex ML methods at this specific horizon.</w:t>
      </w:r>
    </w:p>
    <w:p>
      <w:pPr>
        <w:pStyle w:val="ListBullet"/>
        <w:spacing w:after="60"/>
      </w:pPr>
      <w:r>
        <w:rPr>
          <w:b/>
          <w:color w:val="1F3964"/>
          <w:sz w:val="20"/>
        </w:rPr>
        <w:t xml:space="preserve">Finding 3:  </w:t>
      </w:r>
      <w:r>
        <w:rPr>
          <w:color w:val="404040"/>
          <w:sz w:val="20"/>
        </w:rPr>
        <w:t>Classical models (ARIMA, VAR) are never the outright winner. However, ARIMA with automatic order selection is competitive with Random Forest at h=1 for inflation and should not be dismissed as a component of a forecasting ensemble.</w:t>
      </w:r>
    </w:p>
    <w:p>
      <w:pPr>
        <w:pStyle w:val="ListBullet"/>
        <w:spacing w:after="60"/>
      </w:pPr>
      <w:r>
        <w:rPr>
          <w:b/>
          <w:color w:val="1F3964"/>
          <w:sz w:val="20"/>
        </w:rPr>
        <w:t xml:space="preserve">Finding 4:  </w:t>
      </w:r>
      <w:r>
        <w:rPr>
          <w:color w:val="404040"/>
          <w:sz w:val="20"/>
        </w:rPr>
        <w:t>Tree-based models (XGBoost, Random Forest) are uniquely robust to structural shocks. During the 2020+ period, XGBoost is the only model that outperforms the naive benchmark for unemployment at all horizons. All other model classes — including linear ML — fail to maintain competitive accuracy under shock conditions.</w:t>
      </w:r>
    </w:p>
    <w:p>
      <w:pPr>
        <w:pStyle w:val="ListBullet"/>
        <w:spacing w:after="60"/>
      </w:pPr>
      <w:r>
        <w:rPr>
          <w:b/>
          <w:color w:val="1F3964"/>
          <w:sz w:val="20"/>
        </w:rPr>
        <w:t xml:space="preserve">Finding 5:  </w:t>
      </w:r>
      <w:r>
        <w:rPr>
          <w:color w:val="404040"/>
          <w:sz w:val="20"/>
        </w:rPr>
        <w:t>Tuning does not always improve performance. Reducing regularisation strength for Lasso and Ridge worsened their accuracy, confirming that the original penalty values were already well-calibrated for this forecasting task. Increasing XGBoost's estimator count from 100 to 150, however, produced consistent improvements across all cells.</w:t>
      </w:r>
    </w:p>
    <w:p/>
    <w:p>
      <w:pPr>
        <w:spacing w:after="120"/>
      </w:pPr>
      <w:r>
        <w:rPr>
          <w:color w:val="404040"/>
          <w:sz w:val="20"/>
        </w:rPr>
        <w:t>The evidence supports a practical recommendation for applied macroeconomic forecasting: gradient boosting methods (XGBoost) should be the primary tool for medium- and long-horizon forecasting of both inflation and unemployment. For short-horizon inflation, Lasso provides a simpler, more interpretable alternative with superior accuracy. Classical models remain useful as benchmarks and as components of forecast combinations, but should not be used as standalone forecasting tools for horizons beyond one month.</w:t>
      </w:r>
    </w:p>
    <w:p>
      <w:pPr>
        <w:spacing w:before="160" w:after="160"/>
        <w:ind w:left="648" w:right="648"/>
      </w:pPr>
      <w:r>
        <w:rPr>
          <w:i/>
          <w:color w:val="2E75B6"/>
          <w:sz w:val="21"/>
        </w:rPr>
        <w:t>The key lesson from this project is not simply that machine learning wins. It is that the conditions under which each model class excels are predictable and economically interpretable — and that understanding those conditions is as valuable as finding the single best-performing model.</w:t>
      </w:r>
    </w:p>
    <w:p>
      <w:pPr>
        <w:spacing w:before="400" w:after="100"/>
      </w:pPr>
      <w:r>
        <w:rPr>
          <w:b/>
          <w:color w:val="1F3964"/>
          <w:sz w:val="28"/>
        </w:rPr>
        <w:t>9. Limitations and Future Work</w:t>
      </w:r>
    </w:p>
    <w:p>
      <w:pPr>
        <w:spacing w:before="240" w:after="60"/>
      </w:pPr>
      <w:r>
        <w:rPr>
          <w:b/>
          <w:color w:val="2E75B6"/>
          <w:sz w:val="22"/>
        </w:rPr>
        <w:t>9.1 Limitations</w:t>
      </w:r>
    </w:p>
    <w:p>
      <w:pPr>
        <w:pStyle w:val="ListBullet"/>
        <w:spacing w:after="60"/>
      </w:pPr>
      <w:r>
        <w:rPr>
          <w:color w:val="404040"/>
          <w:sz w:val="20"/>
        </w:rPr>
        <w:t>The evaluation period begins in 2000. Results may not generalise to earlier periods with different inflation regimes (e.g., the high-inflation 1970s and 1980s).</w:t>
      </w:r>
    </w:p>
    <w:p>
      <w:pPr>
        <w:pStyle w:val="ListBullet"/>
        <w:spacing w:after="60"/>
      </w:pPr>
      <w:r>
        <w:rPr>
          <w:color w:val="404040"/>
          <w:sz w:val="20"/>
        </w:rPr>
        <w:t>Hyperparameter tuning for tree-based models used fixed values rather than rolling cross-validation, which could be suboptimal at certain points in the sample.</w:t>
      </w:r>
    </w:p>
    <w:p>
      <w:pPr>
        <w:pStyle w:val="ListBullet"/>
        <w:spacing w:after="60"/>
      </w:pPr>
      <w:r>
        <w:rPr>
          <w:color w:val="404040"/>
          <w:sz w:val="20"/>
        </w:rPr>
        <w:t>Only point forecasts are evaluated. Forecast uncertainty (prediction intervals) is not modelled, which limits the direct policy relevance of the outputs.</w:t>
      </w:r>
    </w:p>
    <w:p>
      <w:pPr>
        <w:pStyle w:val="ListBullet"/>
        <w:spacing w:after="60"/>
      </w:pPr>
      <w:r>
        <w:rPr>
          <w:color w:val="404040"/>
          <w:sz w:val="20"/>
        </w:rPr>
        <w:t>The COVID-19 shock is a single extreme event. Conclusions about tree-model robustness are based on one episode and should be interpreted cautiously.</w:t>
      </w:r>
    </w:p>
    <w:p>
      <w:pPr>
        <w:spacing w:before="240" w:after="60"/>
      </w:pPr>
      <w:r>
        <w:rPr>
          <w:b/>
          <w:color w:val="2E75B6"/>
          <w:sz w:val="22"/>
        </w:rPr>
        <w:t>9.2 Directions for Future Work</w:t>
      </w:r>
    </w:p>
    <w:p>
      <w:pPr>
        <w:pStyle w:val="ListBullet"/>
        <w:spacing w:after="60"/>
      </w:pPr>
      <w:r>
        <w:rPr>
          <w:color w:val="404040"/>
          <w:sz w:val="20"/>
        </w:rPr>
        <w:t>Forecast combination: averaging ARIMA, Lasso, and XGBoost forecasts may outperform any individual model through error diversification.</w:t>
      </w:r>
    </w:p>
    <w:p>
      <w:pPr>
        <w:pStyle w:val="ListBullet"/>
        <w:spacing w:after="60"/>
      </w:pPr>
      <w:r>
        <w:rPr>
          <w:color w:val="404040"/>
          <w:sz w:val="20"/>
        </w:rPr>
        <w:t>Prediction intervals: quantile regression forests or conformal prediction would add probabilistic outputs suitable for risk management applications.</w:t>
      </w:r>
    </w:p>
    <w:p>
      <w:pPr>
        <w:pStyle w:val="ListBullet"/>
        <w:spacing w:after="60"/>
      </w:pPr>
      <w:r>
        <w:rPr>
          <w:color w:val="404040"/>
          <w:sz w:val="20"/>
        </w:rPr>
        <w:t>Real-time data: this study uses revised data. A true real-time backtest using vintage data would account for data revisions and provide a more operationally realistic evaluation.</w:t>
      </w:r>
    </w:p>
    <w:p>
      <w:pPr>
        <w:pStyle w:val="ListBullet"/>
        <w:spacing w:after="60"/>
      </w:pPr>
      <w:r>
        <w:rPr>
          <w:color w:val="404040"/>
          <w:sz w:val="20"/>
        </w:rPr>
        <w:t>Extended model set: Neural networks (LSTM, Temporal Fusion Transformer) and factor models (DFM) would provide additional points of comparison.</w:t>
      </w:r>
    </w:p>
    <w:p>
      <w:pPr>
        <w:pStyle w:val="ListBullet"/>
        <w:spacing w:after="60"/>
      </w:pPr>
      <w:r>
        <w:rPr>
          <w:color w:val="404040"/>
          <w:sz w:val="20"/>
        </w:rPr>
        <w:t>Longer sample: including data back to 1960 would allow testing in a genuinely different inflation regime and provide a more rigorous assessment of model robustness.</w:t>
      </w:r>
    </w:p>
    <w:p>
      <w:pPr>
        <w:spacing w:before="400" w:after="100"/>
      </w:pPr>
      <w:r>
        <w:rPr>
          <w:b/>
          <w:color w:val="1F3964"/>
          <w:sz w:val="28"/>
        </w:rPr>
        <w:t>10. Technical Appendix</w:t>
      </w:r>
    </w:p>
    <w:p>
      <w:pPr>
        <w:spacing w:before="240" w:after="60"/>
      </w:pPr>
      <w:r>
        <w:rPr>
          <w:b/>
          <w:color w:val="2E75B6"/>
          <w:sz w:val="22"/>
        </w:rPr>
        <w:t>10.1 Software and Libraries</w:t>
      </w:r>
    </w:p>
    <w:tbl>
      <w:tblPr>
        <w:tblStyle w:val="TableGrid"/>
        <w:tblW w:type="auto" w:w="0"/>
        <w:jc w:val="left"/>
        <w:tblLook w:firstColumn="1" w:firstRow="1" w:lastColumn="0" w:lastRow="0" w:noHBand="0" w:noVBand="1" w:val="04A0"/>
      </w:tblPr>
      <w:tblGrid>
        <w:gridCol w:w="3041"/>
        <w:gridCol w:w="3041"/>
        <w:gridCol w:w="3041"/>
      </w:tblGrid>
      <w:tr>
        <w:tc>
          <w:tcPr>
            <w:tcW w:type="dxa" w:w="2160"/>
            <w:shd w:val="clear" w:color="auto" w:fill="1F3964"/>
          </w:tcPr>
          <w:p>
            <w:pPr>
              <w:jc w:val="center"/>
            </w:pPr>
            <w:r>
              <w:rPr>
                <w:b/>
                <w:color w:val="FFFFFF"/>
                <w:sz w:val="18"/>
              </w:rPr>
              <w:t>Library</w:t>
            </w:r>
          </w:p>
        </w:tc>
        <w:tc>
          <w:tcPr>
            <w:tcW w:type="dxa" w:w="1296"/>
            <w:shd w:val="clear" w:color="auto" w:fill="1F3964"/>
          </w:tcPr>
          <w:p>
            <w:pPr>
              <w:jc w:val="center"/>
            </w:pPr>
            <w:r>
              <w:rPr>
                <w:b/>
                <w:color w:val="FFFFFF"/>
                <w:sz w:val="18"/>
              </w:rPr>
              <w:t>Version</w:t>
            </w:r>
          </w:p>
        </w:tc>
        <w:tc>
          <w:tcPr>
            <w:tcW w:type="dxa" w:w="6048"/>
            <w:shd w:val="clear" w:color="auto" w:fill="1F3964"/>
          </w:tcPr>
          <w:p>
            <w:pPr>
              <w:jc w:val="center"/>
            </w:pPr>
            <w:r>
              <w:rPr>
                <w:b/>
                <w:color w:val="FFFFFF"/>
                <w:sz w:val="18"/>
              </w:rPr>
              <w:t>Purpose</w:t>
            </w:r>
          </w:p>
        </w:tc>
      </w:tr>
      <w:tr>
        <w:tc>
          <w:tcPr>
            <w:tcW w:type="dxa" w:w="2160"/>
            <w:shd w:val="clear" w:color="auto" w:fill="F2F7FC"/>
          </w:tcPr>
          <w:p>
            <w:r>
              <w:rPr>
                <w:b/>
                <w:color w:val="404040"/>
                <w:sz w:val="18"/>
              </w:rPr>
              <w:t>pandas</w:t>
            </w:r>
          </w:p>
        </w:tc>
        <w:tc>
          <w:tcPr>
            <w:tcW w:type="dxa" w:w="1296"/>
            <w:shd w:val="clear" w:color="auto" w:fill="F2F7FC"/>
          </w:tcPr>
          <w:p>
            <w:r>
              <w:rPr>
                <w:color w:val="404040"/>
                <w:sz w:val="18"/>
              </w:rPr>
              <w:t>3.0.2</w:t>
            </w:r>
          </w:p>
        </w:tc>
        <w:tc>
          <w:tcPr>
            <w:tcW w:type="dxa" w:w="6048"/>
            <w:shd w:val="clear" w:color="auto" w:fill="F2F7FC"/>
          </w:tcPr>
          <w:p>
            <w:r>
              <w:rPr>
                <w:color w:val="404040"/>
                <w:sz w:val="18"/>
              </w:rPr>
              <w:t>Data wrangling and time series alignment</w:t>
            </w:r>
          </w:p>
        </w:tc>
      </w:tr>
      <w:tr>
        <w:tc>
          <w:tcPr>
            <w:tcW w:type="dxa" w:w="2160"/>
            <w:shd w:val="clear" w:color="auto" w:fill="FFFFFF"/>
          </w:tcPr>
          <w:p>
            <w:r>
              <w:rPr>
                <w:b/>
                <w:color w:val="404040"/>
                <w:sz w:val="18"/>
              </w:rPr>
              <w:t>numpy</w:t>
            </w:r>
          </w:p>
        </w:tc>
        <w:tc>
          <w:tcPr>
            <w:tcW w:type="dxa" w:w="1296"/>
            <w:shd w:val="clear" w:color="auto" w:fill="FFFFFF"/>
          </w:tcPr>
          <w:p>
            <w:r>
              <w:rPr>
                <w:color w:val="404040"/>
                <w:sz w:val="18"/>
              </w:rPr>
              <w:t>2.4.4</w:t>
            </w:r>
          </w:p>
        </w:tc>
        <w:tc>
          <w:tcPr>
            <w:tcW w:type="dxa" w:w="6048"/>
            <w:shd w:val="clear" w:color="auto" w:fill="FFFFFF"/>
          </w:tcPr>
          <w:p>
            <w:r>
              <w:rPr>
                <w:color w:val="404040"/>
                <w:sz w:val="18"/>
              </w:rPr>
              <w:t>Numerical computation and error metrics</w:t>
            </w:r>
          </w:p>
        </w:tc>
      </w:tr>
      <w:tr>
        <w:tc>
          <w:tcPr>
            <w:tcW w:type="dxa" w:w="2160"/>
            <w:shd w:val="clear" w:color="auto" w:fill="F2F7FC"/>
          </w:tcPr>
          <w:p>
            <w:r>
              <w:rPr>
                <w:b/>
                <w:color w:val="404040"/>
                <w:sz w:val="18"/>
              </w:rPr>
              <w:t>statsmodels</w:t>
            </w:r>
          </w:p>
        </w:tc>
        <w:tc>
          <w:tcPr>
            <w:tcW w:type="dxa" w:w="1296"/>
            <w:shd w:val="clear" w:color="auto" w:fill="F2F7FC"/>
          </w:tcPr>
          <w:p>
            <w:r>
              <w:rPr>
                <w:color w:val="404040"/>
                <w:sz w:val="18"/>
              </w:rPr>
              <w:t>0.14.6</w:t>
            </w:r>
          </w:p>
        </w:tc>
        <w:tc>
          <w:tcPr>
            <w:tcW w:type="dxa" w:w="6048"/>
            <w:shd w:val="clear" w:color="auto" w:fill="F2F7FC"/>
          </w:tcPr>
          <w:p>
            <w:r>
              <w:rPr>
                <w:color w:val="404040"/>
                <w:sz w:val="18"/>
              </w:rPr>
              <w:t>ARIMA and VAR estimation</w:t>
            </w:r>
          </w:p>
        </w:tc>
      </w:tr>
      <w:tr>
        <w:tc>
          <w:tcPr>
            <w:tcW w:type="dxa" w:w="2160"/>
            <w:shd w:val="clear" w:color="auto" w:fill="FFFFFF"/>
          </w:tcPr>
          <w:p>
            <w:r>
              <w:rPr>
                <w:b/>
                <w:color w:val="404040"/>
                <w:sz w:val="18"/>
              </w:rPr>
              <w:t>scikit-learn</w:t>
            </w:r>
          </w:p>
        </w:tc>
        <w:tc>
          <w:tcPr>
            <w:tcW w:type="dxa" w:w="1296"/>
            <w:shd w:val="clear" w:color="auto" w:fill="FFFFFF"/>
          </w:tcPr>
          <w:p>
            <w:r>
              <w:rPr>
                <w:color w:val="404040"/>
                <w:sz w:val="18"/>
              </w:rPr>
              <w:t>1.8.0</w:t>
            </w:r>
          </w:p>
        </w:tc>
        <w:tc>
          <w:tcPr>
            <w:tcW w:type="dxa" w:w="6048"/>
            <w:shd w:val="clear" w:color="auto" w:fill="FFFFFF"/>
          </w:tcPr>
          <w:p>
            <w:r>
              <w:rPr>
                <w:color w:val="404040"/>
                <w:sz w:val="18"/>
              </w:rPr>
              <w:t>Ridge, Lasso, Random Forest, preprocessing</w:t>
            </w:r>
          </w:p>
        </w:tc>
      </w:tr>
      <w:tr>
        <w:tc>
          <w:tcPr>
            <w:tcW w:type="dxa" w:w="2160"/>
            <w:shd w:val="clear" w:color="auto" w:fill="F2F7FC"/>
          </w:tcPr>
          <w:p>
            <w:r>
              <w:rPr>
                <w:b/>
                <w:color w:val="404040"/>
                <w:sz w:val="18"/>
              </w:rPr>
              <w:t>xgboost</w:t>
            </w:r>
          </w:p>
        </w:tc>
        <w:tc>
          <w:tcPr>
            <w:tcW w:type="dxa" w:w="1296"/>
            <w:shd w:val="clear" w:color="auto" w:fill="F2F7FC"/>
          </w:tcPr>
          <w:p>
            <w:r>
              <w:rPr>
                <w:color w:val="404040"/>
                <w:sz w:val="18"/>
              </w:rPr>
              <w:t>3.2.0</w:t>
            </w:r>
          </w:p>
        </w:tc>
        <w:tc>
          <w:tcPr>
            <w:tcW w:type="dxa" w:w="6048"/>
            <w:shd w:val="clear" w:color="auto" w:fill="F2F7FC"/>
          </w:tcPr>
          <w:p>
            <w:r>
              <w:rPr>
                <w:color w:val="404040"/>
                <w:sz w:val="18"/>
              </w:rPr>
              <w:t>XGBoost gradient boosting</w:t>
            </w:r>
          </w:p>
        </w:tc>
      </w:tr>
      <w:tr>
        <w:tc>
          <w:tcPr>
            <w:tcW w:type="dxa" w:w="2160"/>
            <w:shd w:val="clear" w:color="auto" w:fill="FFFFFF"/>
          </w:tcPr>
          <w:p>
            <w:r>
              <w:rPr>
                <w:b/>
                <w:color w:val="404040"/>
                <w:sz w:val="18"/>
              </w:rPr>
              <w:t>fredapi</w:t>
            </w:r>
          </w:p>
        </w:tc>
        <w:tc>
          <w:tcPr>
            <w:tcW w:type="dxa" w:w="1296"/>
            <w:shd w:val="clear" w:color="auto" w:fill="FFFFFF"/>
          </w:tcPr>
          <w:p>
            <w:r>
              <w:rPr>
                <w:color w:val="404040"/>
                <w:sz w:val="18"/>
              </w:rPr>
              <w:t>0.5.2</w:t>
            </w:r>
          </w:p>
        </w:tc>
        <w:tc>
          <w:tcPr>
            <w:tcW w:type="dxa" w:w="6048"/>
            <w:shd w:val="clear" w:color="auto" w:fill="FFFFFF"/>
          </w:tcPr>
          <w:p>
            <w:r>
              <w:rPr>
                <w:color w:val="404040"/>
                <w:sz w:val="18"/>
              </w:rPr>
              <w:t>FRED API data retrieval</w:t>
            </w:r>
          </w:p>
        </w:tc>
      </w:tr>
      <w:tr>
        <w:tc>
          <w:tcPr>
            <w:tcW w:type="dxa" w:w="2160"/>
            <w:shd w:val="clear" w:color="auto" w:fill="F2F7FC"/>
          </w:tcPr>
          <w:p>
            <w:r>
              <w:rPr>
                <w:b/>
                <w:color w:val="404040"/>
                <w:sz w:val="18"/>
              </w:rPr>
              <w:t>matplotlib</w:t>
            </w:r>
          </w:p>
        </w:tc>
        <w:tc>
          <w:tcPr>
            <w:tcW w:type="dxa" w:w="1296"/>
            <w:shd w:val="clear" w:color="auto" w:fill="F2F7FC"/>
          </w:tcPr>
          <w:p>
            <w:r>
              <w:rPr>
                <w:color w:val="404040"/>
                <w:sz w:val="18"/>
              </w:rPr>
              <w:t>3.10.9</w:t>
            </w:r>
          </w:p>
        </w:tc>
        <w:tc>
          <w:tcPr>
            <w:tcW w:type="dxa" w:w="6048"/>
            <w:shd w:val="clear" w:color="auto" w:fill="F2F7FC"/>
          </w:tcPr>
          <w:p>
            <w:r>
              <w:rPr>
                <w:color w:val="404040"/>
                <w:sz w:val="18"/>
              </w:rPr>
              <w:t>EDA and diagnostic figures</w:t>
            </w:r>
          </w:p>
        </w:tc>
      </w:tr>
      <w:tr>
        <w:tc>
          <w:tcPr>
            <w:tcW w:type="dxa" w:w="2160"/>
            <w:shd w:val="clear" w:color="auto" w:fill="FFFFFF"/>
          </w:tcPr>
          <w:p>
            <w:r>
              <w:rPr>
                <w:b/>
                <w:color w:val="404040"/>
                <w:sz w:val="18"/>
              </w:rPr>
              <w:t>plotly</w:t>
            </w:r>
          </w:p>
        </w:tc>
        <w:tc>
          <w:tcPr>
            <w:tcW w:type="dxa" w:w="1296"/>
            <w:shd w:val="clear" w:color="auto" w:fill="FFFFFF"/>
          </w:tcPr>
          <w:p>
            <w:r>
              <w:rPr>
                <w:color w:val="404040"/>
                <w:sz w:val="18"/>
              </w:rPr>
              <w:t>6.7.0</w:t>
            </w:r>
          </w:p>
        </w:tc>
        <w:tc>
          <w:tcPr>
            <w:tcW w:type="dxa" w:w="6048"/>
            <w:shd w:val="clear" w:color="auto" w:fill="FFFFFF"/>
          </w:tcPr>
          <w:p>
            <w:r>
              <w:rPr>
                <w:color w:val="404040"/>
                <w:sz w:val="18"/>
              </w:rPr>
              <w:t>Interactive HTML dashboard</w:t>
            </w:r>
          </w:p>
        </w:tc>
      </w:tr>
      <w:tr>
        <w:tc>
          <w:tcPr>
            <w:tcW w:type="dxa" w:w="2160"/>
            <w:shd w:val="clear" w:color="auto" w:fill="F2F7FC"/>
          </w:tcPr>
          <w:p>
            <w:r>
              <w:rPr>
                <w:b/>
                <w:color w:val="404040"/>
                <w:sz w:val="18"/>
              </w:rPr>
              <w:t>python-docx</w:t>
            </w:r>
          </w:p>
        </w:tc>
        <w:tc>
          <w:tcPr>
            <w:tcW w:type="dxa" w:w="1296"/>
            <w:shd w:val="clear" w:color="auto" w:fill="F2F7FC"/>
          </w:tcPr>
          <w:p>
            <w:r>
              <w:rPr>
                <w:color w:val="404040"/>
                <w:sz w:val="18"/>
              </w:rPr>
              <w:t>1.2.0</w:t>
            </w:r>
          </w:p>
        </w:tc>
        <w:tc>
          <w:tcPr>
            <w:tcW w:type="dxa" w:w="6048"/>
            <w:shd w:val="clear" w:color="auto" w:fill="F2F7FC"/>
          </w:tcPr>
          <w:p>
            <w:r>
              <w:rPr>
                <w:color w:val="404040"/>
                <w:sz w:val="18"/>
              </w:rPr>
              <w:t>Report generation</w:t>
            </w:r>
          </w:p>
        </w:tc>
      </w:tr>
      <w:tr>
        <w:tc>
          <w:tcPr>
            <w:tcW w:type="dxa" w:w="2160"/>
            <w:shd w:val="clear" w:color="auto" w:fill="FFFFFF"/>
          </w:tcPr>
          <w:p>
            <w:r>
              <w:rPr>
                <w:b/>
                <w:color w:val="404040"/>
                <w:sz w:val="18"/>
              </w:rPr>
              <w:t>python-dotenv</w:t>
            </w:r>
          </w:p>
        </w:tc>
        <w:tc>
          <w:tcPr>
            <w:tcW w:type="dxa" w:w="1296"/>
            <w:shd w:val="clear" w:color="auto" w:fill="FFFFFF"/>
          </w:tcPr>
          <w:p>
            <w:r>
              <w:rPr>
                <w:color w:val="404040"/>
                <w:sz w:val="18"/>
              </w:rPr>
              <w:t>1.2.2</w:t>
            </w:r>
          </w:p>
        </w:tc>
        <w:tc>
          <w:tcPr>
            <w:tcW w:type="dxa" w:w="6048"/>
            <w:shd w:val="clear" w:color="auto" w:fill="FFFFFF"/>
          </w:tcPr>
          <w:p>
            <w:r>
              <w:rPr>
                <w:color w:val="404040"/>
                <w:sz w:val="18"/>
              </w:rPr>
              <w:t>Secure API key management</w:t>
            </w:r>
          </w:p>
        </w:tc>
      </w:tr>
    </w:tbl>
    <w:p>
      <w:pPr>
        <w:spacing w:before="240" w:after="60"/>
      </w:pPr>
      <w:r>
        <w:rPr>
          <w:b/>
          <w:color w:val="2E75B6"/>
          <w:sz w:val="22"/>
        </w:rPr>
        <w:t>10.2 Reproducibility</w:t>
      </w:r>
    </w:p>
    <w:p>
      <w:pPr>
        <w:spacing w:after="120"/>
      </w:pPr>
      <w:r>
        <w:rPr>
          <w:color w:val="404040"/>
          <w:sz w:val="20"/>
        </w:rPr>
        <w:t>The complete pipeline is reproducible from a single FRED API key. Running the seven numbered scripts in src/ in order (01 through 07, plus 05 for the merge) regenerates all results, figures, and the interactive dashboard from raw data downloads. No manual data entry is required at any stage.</w:t>
      </w:r>
    </w:p>
    <w:p>
      <w:pPr>
        <w:spacing w:before="240" w:after="60"/>
      </w:pPr>
      <w:r>
        <w:rPr>
          <w:b/>
          <w:color w:val="2E75B6"/>
          <w:sz w:val="22"/>
        </w:rPr>
        <w:t>10.3 Project Deliverables</w:t>
      </w:r>
    </w:p>
    <w:tbl>
      <w:tblPr>
        <w:tblStyle w:val="TableGrid"/>
        <w:tblW w:type="auto" w:w="0"/>
        <w:jc w:val="left"/>
        <w:tblLook w:firstColumn="1" w:firstRow="1" w:lastColumn="0" w:lastRow="0" w:noHBand="0" w:noVBand="1" w:val="04A0"/>
      </w:tblPr>
      <w:tblGrid>
        <w:gridCol w:w="3041"/>
        <w:gridCol w:w="3041"/>
        <w:gridCol w:w="3041"/>
      </w:tblGrid>
      <w:tr>
        <w:tc>
          <w:tcPr>
            <w:tcW w:type="dxa" w:w="4608"/>
            <w:shd w:val="clear" w:color="auto" w:fill="1F3964"/>
          </w:tcPr>
          <w:p>
            <w:pPr>
              <w:jc w:val="center"/>
            </w:pPr>
            <w:r>
              <w:rPr>
                <w:b/>
                <w:color w:val="FFFFFF"/>
                <w:sz w:val="18"/>
              </w:rPr>
              <w:t>File</w:t>
            </w:r>
          </w:p>
        </w:tc>
        <w:tc>
          <w:tcPr>
            <w:tcW w:type="dxa" w:w="1872"/>
            <w:shd w:val="clear" w:color="auto" w:fill="1F3964"/>
          </w:tcPr>
          <w:p>
            <w:pPr>
              <w:jc w:val="center"/>
            </w:pPr>
            <w:r>
              <w:rPr>
                <w:b/>
                <w:color w:val="FFFFFF"/>
                <w:sz w:val="18"/>
              </w:rPr>
              <w:t>Location</w:t>
            </w:r>
          </w:p>
        </w:tc>
        <w:tc>
          <w:tcPr>
            <w:tcW w:type="dxa" w:w="3024"/>
            <w:shd w:val="clear" w:color="auto" w:fill="1F3964"/>
          </w:tcPr>
          <w:p>
            <w:pPr>
              <w:jc w:val="center"/>
            </w:pPr>
            <w:r>
              <w:rPr>
                <w:b/>
                <w:color w:val="FFFFFF"/>
                <w:sz w:val="18"/>
              </w:rPr>
              <w:t>Description</w:t>
            </w:r>
          </w:p>
        </w:tc>
      </w:tr>
      <w:tr>
        <w:tc>
          <w:tcPr>
            <w:tcW w:type="dxa" w:w="4608"/>
            <w:shd w:val="clear" w:color="auto" w:fill="F2F7FC"/>
          </w:tcPr>
          <w:p>
            <w:r>
              <w:rPr>
                <w:b/>
                <w:color w:val="404040"/>
                <w:sz w:val="18"/>
              </w:rPr>
              <w:t>dashboard.html</w:t>
            </w:r>
          </w:p>
        </w:tc>
        <w:tc>
          <w:tcPr>
            <w:tcW w:type="dxa" w:w="1872"/>
            <w:shd w:val="clear" w:color="auto" w:fill="F2F7FC"/>
          </w:tcPr>
          <w:p>
            <w:r>
              <w:rPr>
                <w:color w:val="404040"/>
                <w:sz w:val="18"/>
              </w:rPr>
              <w:t>Debriefs/</w:t>
            </w:r>
          </w:p>
        </w:tc>
        <w:tc>
          <w:tcPr>
            <w:tcW w:type="dxa" w:w="3024"/>
            <w:shd w:val="clear" w:color="auto" w:fill="F2F7FC"/>
          </w:tcPr>
          <w:p>
            <w:r>
              <w:rPr>
                <w:color w:val="404040"/>
                <w:sz w:val="18"/>
              </w:rPr>
              <w:t>Interactive 5-panel Plotly dashboard</w:t>
            </w:r>
          </w:p>
        </w:tc>
      </w:tr>
      <w:tr>
        <w:tc>
          <w:tcPr>
            <w:tcW w:type="dxa" w:w="4608"/>
            <w:shd w:val="clear" w:color="auto" w:fill="FFFFFF"/>
          </w:tcPr>
          <w:p>
            <w:r>
              <w:rPr>
                <w:b/>
                <w:color w:val="404040"/>
                <w:sz w:val="18"/>
              </w:rPr>
              <w:t>Final_Report.docx</w:t>
            </w:r>
          </w:p>
        </w:tc>
        <w:tc>
          <w:tcPr>
            <w:tcW w:type="dxa" w:w="1872"/>
            <w:shd w:val="clear" w:color="auto" w:fill="FFFFFF"/>
          </w:tcPr>
          <w:p>
            <w:r>
              <w:rPr>
                <w:color w:val="404040"/>
                <w:sz w:val="18"/>
              </w:rPr>
              <w:t>Debriefs/</w:t>
            </w:r>
          </w:p>
        </w:tc>
        <w:tc>
          <w:tcPr>
            <w:tcW w:type="dxa" w:w="3024"/>
            <w:shd w:val="clear" w:color="auto" w:fill="FFFFFF"/>
          </w:tcPr>
          <w:p>
            <w:r>
              <w:rPr>
                <w:color w:val="404040"/>
                <w:sz w:val="18"/>
              </w:rPr>
              <w:t>This document</w:t>
            </w:r>
          </w:p>
        </w:tc>
      </w:tr>
      <w:tr>
        <w:tc>
          <w:tcPr>
            <w:tcW w:type="dxa" w:w="4608"/>
            <w:shd w:val="clear" w:color="auto" w:fill="F2F7FC"/>
          </w:tcPr>
          <w:p>
            <w:r>
              <w:rPr>
                <w:b/>
                <w:color w:val="404040"/>
                <w:sz w:val="18"/>
              </w:rPr>
              <w:t>Status_Debrief_Day9.docx</w:t>
            </w:r>
          </w:p>
        </w:tc>
        <w:tc>
          <w:tcPr>
            <w:tcW w:type="dxa" w:w="1872"/>
            <w:shd w:val="clear" w:color="auto" w:fill="F2F7FC"/>
          </w:tcPr>
          <w:p>
            <w:r>
              <w:rPr>
                <w:color w:val="404040"/>
                <w:sz w:val="18"/>
              </w:rPr>
              <w:t>Debriefs/</w:t>
            </w:r>
          </w:p>
        </w:tc>
        <w:tc>
          <w:tcPr>
            <w:tcW w:type="dxa" w:w="3024"/>
            <w:shd w:val="clear" w:color="auto" w:fill="F2F7FC"/>
          </w:tcPr>
          <w:p>
            <w:r>
              <w:rPr>
                <w:color w:val="404040"/>
                <w:sz w:val="18"/>
              </w:rPr>
              <w:t>Plain-English progress summary</w:t>
            </w:r>
          </w:p>
        </w:tc>
      </w:tr>
      <w:tr>
        <w:tc>
          <w:tcPr>
            <w:tcW w:type="dxa" w:w="4608"/>
            <w:shd w:val="clear" w:color="auto" w:fill="FFFFFF"/>
          </w:tcPr>
          <w:p>
            <w:r>
              <w:rPr>
                <w:b/>
                <w:color w:val="404040"/>
                <w:sz w:val="18"/>
              </w:rPr>
              <w:t>Inflation_Unemployment_Forecasting_Project_Plan.docx</w:t>
            </w:r>
          </w:p>
        </w:tc>
        <w:tc>
          <w:tcPr>
            <w:tcW w:type="dxa" w:w="1872"/>
            <w:shd w:val="clear" w:color="auto" w:fill="FFFFFF"/>
          </w:tcPr>
          <w:p>
            <w:r>
              <w:rPr>
                <w:color w:val="404040"/>
                <w:sz w:val="18"/>
              </w:rPr>
              <w:t>Debriefs/</w:t>
            </w:r>
          </w:p>
        </w:tc>
        <w:tc>
          <w:tcPr>
            <w:tcW w:type="dxa" w:w="3024"/>
            <w:shd w:val="clear" w:color="auto" w:fill="FFFFFF"/>
          </w:tcPr>
          <w:p>
            <w:r>
              <w:rPr>
                <w:color w:val="404040"/>
                <w:sz w:val="18"/>
              </w:rPr>
              <w:t>10-day project plan</w:t>
            </w:r>
          </w:p>
        </w:tc>
      </w:tr>
      <w:tr>
        <w:tc>
          <w:tcPr>
            <w:tcW w:type="dxa" w:w="4608"/>
            <w:shd w:val="clear" w:color="auto" w:fill="F2F7FC"/>
          </w:tcPr>
          <w:p>
            <w:r>
              <w:rPr>
                <w:b/>
                <w:color w:val="404040"/>
                <w:sz w:val="18"/>
              </w:rPr>
              <w:t>Inflation_Unemployment_Forecasting_Progress_Report_Days1-4.docx</w:t>
            </w:r>
          </w:p>
        </w:tc>
        <w:tc>
          <w:tcPr>
            <w:tcW w:type="dxa" w:w="1872"/>
            <w:shd w:val="clear" w:color="auto" w:fill="F2F7FC"/>
          </w:tcPr>
          <w:p>
            <w:r>
              <w:rPr>
                <w:color w:val="404040"/>
                <w:sz w:val="18"/>
              </w:rPr>
              <w:t>Debriefs/</w:t>
            </w:r>
          </w:p>
        </w:tc>
        <w:tc>
          <w:tcPr>
            <w:tcW w:type="dxa" w:w="3024"/>
            <w:shd w:val="clear" w:color="auto" w:fill="F2F7FC"/>
          </w:tcPr>
          <w:p>
            <w:r>
              <w:rPr>
                <w:color w:val="404040"/>
                <w:sz w:val="18"/>
              </w:rPr>
              <w:t>Days 1–4 client debrief</w:t>
            </w:r>
          </w:p>
        </w:tc>
      </w:tr>
      <w:tr>
        <w:tc>
          <w:tcPr>
            <w:tcW w:type="dxa" w:w="4608"/>
            <w:shd w:val="clear" w:color="auto" w:fill="FFFFFF"/>
          </w:tcPr>
          <w:p>
            <w:r>
              <w:rPr>
                <w:b/>
                <w:color w:val="404040"/>
                <w:sz w:val="18"/>
              </w:rPr>
              <w:t>master_errors.csv</w:t>
            </w:r>
          </w:p>
        </w:tc>
        <w:tc>
          <w:tcPr>
            <w:tcW w:type="dxa" w:w="1872"/>
            <w:shd w:val="clear" w:color="auto" w:fill="FFFFFF"/>
          </w:tcPr>
          <w:p>
            <w:r>
              <w:rPr>
                <w:color w:val="404040"/>
                <w:sz w:val="18"/>
              </w:rPr>
              <w:t>results/</w:t>
            </w:r>
          </w:p>
        </w:tc>
        <w:tc>
          <w:tcPr>
            <w:tcW w:type="dxa" w:w="3024"/>
            <w:shd w:val="clear" w:color="auto" w:fill="FFFFFF"/>
          </w:tcPr>
          <w:p>
            <w:r>
              <w:rPr>
                <w:color w:val="404040"/>
                <w:sz w:val="18"/>
              </w:rPr>
              <w:t>Full RMSE/MAE table — all 42 model-target-horizon combinations</w:t>
            </w:r>
          </w:p>
        </w:tc>
      </w:tr>
      <w:tr>
        <w:tc>
          <w:tcPr>
            <w:tcW w:type="dxa" w:w="4608"/>
            <w:shd w:val="clear" w:color="auto" w:fill="F2F7FC"/>
          </w:tcPr>
          <w:p>
            <w:r>
              <w:rPr>
                <w:b/>
                <w:color w:val="404040"/>
                <w:sz w:val="18"/>
              </w:rPr>
              <w:t>master_forecasts.csv</w:t>
            </w:r>
          </w:p>
        </w:tc>
        <w:tc>
          <w:tcPr>
            <w:tcW w:type="dxa" w:w="1872"/>
            <w:shd w:val="clear" w:color="auto" w:fill="F2F7FC"/>
          </w:tcPr>
          <w:p>
            <w:r>
              <w:rPr>
                <w:color w:val="404040"/>
                <w:sz w:val="18"/>
              </w:rPr>
              <w:t>results/</w:t>
            </w:r>
          </w:p>
        </w:tc>
        <w:tc>
          <w:tcPr>
            <w:tcW w:type="dxa" w:w="3024"/>
            <w:shd w:val="clear" w:color="auto" w:fill="F2F7FC"/>
          </w:tcPr>
          <w:p>
            <w:r>
              <w:rPr>
                <w:color w:val="404040"/>
                <w:sz w:val="18"/>
              </w:rPr>
              <w:t>1,864 individual forecast observations</w:t>
            </w:r>
          </w:p>
        </w:tc>
      </w:tr>
      <w:tr>
        <w:tc>
          <w:tcPr>
            <w:tcW w:type="dxa" w:w="4608"/>
            <w:shd w:val="clear" w:color="auto" w:fill="FFFFFF"/>
          </w:tcPr>
          <w:p>
            <w:r>
              <w:rPr>
                <w:b/>
                <w:color w:val="404040"/>
                <w:sz w:val="18"/>
              </w:rPr>
              <w:t>subperiod_errors.csv</w:t>
            </w:r>
          </w:p>
        </w:tc>
        <w:tc>
          <w:tcPr>
            <w:tcW w:type="dxa" w:w="1872"/>
            <w:shd w:val="clear" w:color="auto" w:fill="FFFFFF"/>
          </w:tcPr>
          <w:p>
            <w:r>
              <w:rPr>
                <w:color w:val="404040"/>
                <w:sz w:val="18"/>
              </w:rPr>
              <w:t>results/</w:t>
            </w:r>
          </w:p>
        </w:tc>
        <w:tc>
          <w:tcPr>
            <w:tcW w:type="dxa" w:w="3024"/>
            <w:shd w:val="clear" w:color="auto" w:fill="FFFFFF"/>
          </w:tcPr>
          <w:p>
            <w:r>
              <w:rPr>
                <w:color w:val="404040"/>
                <w:sz w:val="18"/>
              </w:rPr>
              <w:t>RMSE by economic regime</w:t>
            </w:r>
          </w:p>
        </w:tc>
      </w:tr>
      <w:tr>
        <w:tc>
          <w:tcPr>
            <w:tcW w:type="dxa" w:w="4608"/>
            <w:shd w:val="clear" w:color="auto" w:fill="F2F7FC"/>
          </w:tcPr>
          <w:p>
            <w:r>
              <w:rPr>
                <w:b/>
                <w:color w:val="404040"/>
                <w:sz w:val="18"/>
              </w:rPr>
              <w:t>feature_importance_*.csv</w:t>
            </w:r>
          </w:p>
        </w:tc>
        <w:tc>
          <w:tcPr>
            <w:tcW w:type="dxa" w:w="1872"/>
            <w:shd w:val="clear" w:color="auto" w:fill="F2F7FC"/>
          </w:tcPr>
          <w:p>
            <w:r>
              <w:rPr>
                <w:color w:val="404040"/>
                <w:sz w:val="18"/>
              </w:rPr>
              <w:t>results/</w:t>
            </w:r>
          </w:p>
        </w:tc>
        <w:tc>
          <w:tcPr>
            <w:tcW w:type="dxa" w:w="3024"/>
            <w:shd w:val="clear" w:color="auto" w:fill="F2F7FC"/>
          </w:tcPr>
          <w:p>
            <w:r>
              <w:rPr>
                <w:color w:val="404040"/>
                <w:sz w:val="18"/>
              </w:rPr>
              <w:t>Feature importance for RF and XGBoost (6 files)</w:t>
            </w:r>
          </w:p>
        </w:tc>
      </w:tr>
      <w:tr>
        <w:tc>
          <w:tcPr>
            <w:tcW w:type="dxa" w:w="4608"/>
            <w:shd w:val="clear" w:color="auto" w:fill="FFFFFF"/>
          </w:tcPr>
          <w:p>
            <w:r>
              <w:rPr>
                <w:b/>
                <w:color w:val="404040"/>
                <w:sz w:val="18"/>
              </w:rPr>
              <w:t>macro_monthly.csv</w:t>
            </w:r>
          </w:p>
        </w:tc>
        <w:tc>
          <w:tcPr>
            <w:tcW w:type="dxa" w:w="1872"/>
            <w:shd w:val="clear" w:color="auto" w:fill="FFFFFF"/>
          </w:tcPr>
          <w:p>
            <w:r>
              <w:rPr>
                <w:color w:val="404040"/>
                <w:sz w:val="18"/>
              </w:rPr>
              <w:t>data/processed/</w:t>
            </w:r>
          </w:p>
        </w:tc>
        <w:tc>
          <w:tcPr>
            <w:tcW w:type="dxa" w:w="3024"/>
            <w:shd w:val="clear" w:color="auto" w:fill="FFFFFF"/>
          </w:tcPr>
          <w:p>
            <w:r>
              <w:rPr>
                <w:color w:val="404040"/>
                <w:sz w:val="18"/>
              </w:rPr>
              <w:t>Clean monthly feature dataset</w:t>
            </w:r>
          </w:p>
        </w:tc>
      </w:tr>
    </w:tbl>
    <w:p/>
    <w:p/>
    <w:p>
      <w:pPr>
        <w:jc w:val="center"/>
      </w:pPr>
      <w:r>
        <w:rPr>
          <w:i/>
          <w:color w:val="888888"/>
          <w:sz w:val="18"/>
        </w:rPr>
        <w:t>Data: Federal Reserve Economic Data (FRED), St. Louis Fed.  Sample: January 1991 – February 2026.  Evaluation: January 2000 – February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