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44"/>
        </w:rPr>
        <w:t>Inflation &amp; Unemployment Forecasting Bake-Off</w:t>
      </w:r>
    </w:p>
    <w:p>
      <w:pPr>
        <w:jc w:val="center"/>
      </w:pPr>
      <w:r>
        <w:rPr>
          <w:color w:val="2E75B6"/>
          <w:sz w:val="22"/>
        </w:rPr>
        <w:t>Revised 10-Day Project Plan  |  May 2026</w:t>
      </w:r>
    </w:p>
    <w:p>
      <w:pPr>
        <w:jc w:val="center"/>
      </w:pPr>
      <w:r>
        <w:rPr>
          <w:i/>
          <w:color w:val="999999"/>
          <w:sz w:val="18"/>
        </w:rPr>
        <w:t>Updated to reflect dashboard output format decision made after Day 6.</w:t>
      </w:r>
    </w:p>
    <w:p/>
    <w:p>
      <w:pPr>
        <w:spacing w:before="360" w:after="80"/>
      </w:pPr>
      <w:r>
        <w:rPr>
          <w:b/>
          <w:color w:val="1F3964"/>
          <w:sz w:val="30"/>
        </w:rPr>
        <w:t>1. Project Goal</w:t>
      </w:r>
    </w:p>
    <w:p>
      <w:pPr>
        <w:spacing w:after="120"/>
      </w:pPr>
      <w:r>
        <w:rPr>
          <w:color w:val="595959"/>
          <w:sz w:val="20"/>
        </w:rPr>
        <w:t>Build a forecasting system that compares traditional time-series models against machine learning models for predicting inflation and unemployment. The goal is not simply to achieve the lowest forecast error, but to demonstrate which model class performs better, under what conditions, and why — and to present those findings in a way that is rigorous, honest, and visually compelling.</w:t>
      </w:r>
    </w:p>
    <w:p>
      <w:pPr>
        <w:spacing w:before="120" w:after="120"/>
        <w:ind w:left="576" w:right="576"/>
      </w:pPr>
      <w:r>
        <w:rPr>
          <w:i/>
          <w:color w:val="2E75B6"/>
          <w:sz w:val="21"/>
        </w:rPr>
        <w:t>"Do traditional time-series models outperform machine learning methods in forecasting inflation and unemployment, or do ML methods gain an edge once richer predictor sets and nonlinear patterns are included?"</w:t>
      </w:r>
    </w:p>
    <w:p>
      <w:pPr>
        <w:spacing w:before="360" w:after="80"/>
      </w:pPr>
      <w:r>
        <w:rPr>
          <w:b/>
          <w:color w:val="1F3964"/>
          <w:sz w:val="30"/>
        </w:rPr>
        <w:t>2. Targets, Horizons &amp; Model Lineup</w:t>
      </w:r>
    </w:p>
    <w:p>
      <w:pPr>
        <w:spacing w:before="200" w:after="60"/>
      </w:pPr>
      <w:r>
        <w:rPr>
          <w:b/>
          <w:color w:val="2E75B6"/>
          <w:sz w:val="22"/>
        </w:rPr>
        <w:t>Forecast Targets</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F3964"/>
          </w:tcPr>
          <w:p>
            <w:pPr>
              <w:jc w:val="center"/>
            </w:pPr>
            <w:r>
              <w:rPr>
                <w:b/>
                <w:color w:val="FFFFFF"/>
                <w:sz w:val="18"/>
              </w:rPr>
              <w:t>Variable</w:t>
            </w:r>
          </w:p>
        </w:tc>
        <w:tc>
          <w:tcPr>
            <w:tcW w:type="dxa" w:w="3312"/>
            <w:shd w:val="clear" w:color="auto" w:fill="1F3964"/>
          </w:tcPr>
          <w:p>
            <w:pPr>
              <w:jc w:val="center"/>
            </w:pPr>
            <w:r>
              <w:rPr>
                <w:b/>
                <w:color w:val="FFFFFF"/>
                <w:sz w:val="18"/>
              </w:rPr>
              <w:t>Transformation</w:t>
            </w:r>
          </w:p>
        </w:tc>
        <w:tc>
          <w:tcPr>
            <w:tcW w:type="dxa" w:w="2592"/>
            <w:shd w:val="clear" w:color="auto" w:fill="1F3964"/>
          </w:tcPr>
          <w:p>
            <w:pPr>
              <w:jc w:val="center"/>
            </w:pPr>
            <w:r>
              <w:rPr>
                <w:b/>
                <w:color w:val="FFFFFF"/>
                <w:sz w:val="18"/>
              </w:rPr>
              <w:t>Role</w:t>
            </w:r>
          </w:p>
        </w:tc>
      </w:tr>
      <w:tr>
        <w:tc>
          <w:tcPr>
            <w:tcW w:type="dxa" w:w="2880"/>
            <w:shd w:val="clear" w:color="auto" w:fill="F2F7FC"/>
          </w:tcPr>
          <w:p>
            <w:r>
              <w:rPr>
                <w:b/>
                <w:color w:val="595959"/>
                <w:sz w:val="18"/>
              </w:rPr>
              <w:t>CPI Inflation (Headline)</w:t>
            </w:r>
          </w:p>
        </w:tc>
        <w:tc>
          <w:tcPr>
            <w:tcW w:type="dxa" w:w="3312"/>
            <w:shd w:val="clear" w:color="auto" w:fill="F2F7FC"/>
          </w:tcPr>
          <w:p>
            <w:r>
              <w:rPr>
                <w:color w:val="595959"/>
                <w:sz w:val="18"/>
              </w:rPr>
              <w:t>Year-over-year % change (12-month)</w:t>
            </w:r>
          </w:p>
        </w:tc>
        <w:tc>
          <w:tcPr>
            <w:tcW w:type="dxa" w:w="2592"/>
            <w:shd w:val="clear" w:color="auto" w:fill="F2F7FC"/>
          </w:tcPr>
          <w:p>
            <w:r>
              <w:rPr>
                <w:color w:val="595959"/>
                <w:sz w:val="18"/>
              </w:rPr>
              <w:t>Primary target</w:t>
            </w:r>
          </w:p>
        </w:tc>
      </w:tr>
      <w:tr>
        <w:tc>
          <w:tcPr>
            <w:tcW w:type="dxa" w:w="2880"/>
            <w:shd w:val="clear" w:color="auto" w:fill="FFFFFF"/>
          </w:tcPr>
          <w:p>
            <w:r>
              <w:rPr>
                <w:b/>
                <w:color w:val="595959"/>
                <w:sz w:val="18"/>
              </w:rPr>
              <w:t>Core CPI Inflation</w:t>
            </w:r>
          </w:p>
        </w:tc>
        <w:tc>
          <w:tcPr>
            <w:tcW w:type="dxa" w:w="3312"/>
            <w:shd w:val="clear" w:color="auto" w:fill="FFFFFF"/>
          </w:tcPr>
          <w:p>
            <w:r>
              <w:rPr>
                <w:color w:val="595959"/>
                <w:sz w:val="18"/>
              </w:rPr>
              <w:t>Year-over-year % change (12-month)</w:t>
            </w:r>
          </w:p>
        </w:tc>
        <w:tc>
          <w:tcPr>
            <w:tcW w:type="dxa" w:w="2592"/>
            <w:shd w:val="clear" w:color="auto" w:fill="FFFFFF"/>
          </w:tcPr>
          <w:p>
            <w:r>
              <w:rPr>
                <w:color w:val="595959"/>
                <w:sz w:val="18"/>
              </w:rPr>
              <w:t>Secondary target / predictor</w:t>
            </w:r>
          </w:p>
        </w:tc>
      </w:tr>
      <w:tr>
        <w:tc>
          <w:tcPr>
            <w:tcW w:type="dxa" w:w="2880"/>
            <w:shd w:val="clear" w:color="auto" w:fill="F2F7FC"/>
          </w:tcPr>
          <w:p>
            <w:r>
              <w:rPr>
                <w:b/>
                <w:color w:val="595959"/>
                <w:sz w:val="18"/>
              </w:rPr>
              <w:t>Unemployment Rate</w:t>
            </w:r>
          </w:p>
        </w:tc>
        <w:tc>
          <w:tcPr>
            <w:tcW w:type="dxa" w:w="3312"/>
            <w:shd w:val="clear" w:color="auto" w:fill="F2F7FC"/>
          </w:tcPr>
          <w:p>
            <w:r>
              <w:rPr>
                <w:color w:val="595959"/>
                <w:sz w:val="18"/>
              </w:rPr>
              <w:t>Level</w:t>
            </w:r>
          </w:p>
        </w:tc>
        <w:tc>
          <w:tcPr>
            <w:tcW w:type="dxa" w:w="2592"/>
            <w:shd w:val="clear" w:color="auto" w:fill="F2F7FC"/>
          </w:tcPr>
          <w:p>
            <w:r>
              <w:rPr>
                <w:color w:val="595959"/>
                <w:sz w:val="18"/>
              </w:rPr>
              <w:t>Primary target</w:t>
            </w:r>
          </w:p>
        </w:tc>
      </w:tr>
    </w:tbl>
    <w:p/>
    <w:p>
      <w:pPr>
        <w:spacing w:before="200" w:after="60"/>
      </w:pPr>
      <w:r>
        <w:rPr>
          <w:b/>
          <w:color w:val="2E75B6"/>
          <w:sz w:val="22"/>
        </w:rPr>
        <w:t>Forecast Horizons</w:t>
      </w:r>
    </w:p>
    <w:p>
      <w:pPr>
        <w:spacing w:after="120"/>
      </w:pPr>
      <w:r>
        <w:rPr>
          <w:color w:val="595959"/>
          <w:sz w:val="20"/>
        </w:rPr>
        <w:t>Forecasts are generated at three horizons: 1 month ahead (h=1), 3 months ahead (h=3), and 6 months ahead (h=6).</w:t>
      </w:r>
    </w:p>
    <w:p>
      <w:pPr>
        <w:spacing w:before="200" w:after="60"/>
      </w:pPr>
      <w:r>
        <w:rPr>
          <w:b/>
          <w:color w:val="2E75B6"/>
          <w:sz w:val="22"/>
        </w:rPr>
        <w:t>Model Lineup</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F3964"/>
          </w:tcPr>
          <w:p>
            <w:pPr>
              <w:jc w:val="center"/>
            </w:pPr>
            <w:r>
              <w:rPr>
                <w:b/>
                <w:color w:val="FFFFFF"/>
                <w:sz w:val="18"/>
              </w:rPr>
              <w:t>Category</w:t>
            </w:r>
          </w:p>
        </w:tc>
        <w:tc>
          <w:tcPr>
            <w:tcW w:type="dxa" w:w="2016"/>
            <w:shd w:val="clear" w:color="auto" w:fill="1F3964"/>
          </w:tcPr>
          <w:p>
            <w:pPr>
              <w:jc w:val="center"/>
            </w:pPr>
            <w:r>
              <w:rPr>
                <w:b/>
                <w:color w:val="FFFFFF"/>
                <w:sz w:val="18"/>
              </w:rPr>
              <w:t>Model</w:t>
            </w:r>
          </w:p>
        </w:tc>
        <w:tc>
          <w:tcPr>
            <w:tcW w:type="dxa" w:w="5328"/>
            <w:shd w:val="clear" w:color="auto" w:fill="1F3964"/>
          </w:tcPr>
          <w:p>
            <w:pPr>
              <w:jc w:val="center"/>
            </w:pPr>
            <w:r>
              <w:rPr>
                <w:b/>
                <w:color w:val="FFFFFF"/>
                <w:sz w:val="18"/>
              </w:rPr>
              <w:t>Description</w:t>
            </w:r>
          </w:p>
        </w:tc>
      </w:tr>
      <w:tr>
        <w:tc>
          <w:tcPr>
            <w:tcW w:type="dxa" w:w="2160"/>
            <w:shd w:val="clear" w:color="auto" w:fill="F2F7FC"/>
          </w:tcPr>
          <w:p>
            <w:r>
              <w:rPr>
                <w:b/>
                <w:color w:val="595959"/>
                <w:sz w:val="18"/>
              </w:rPr>
              <w:t>Baseline</w:t>
            </w:r>
          </w:p>
        </w:tc>
        <w:tc>
          <w:tcPr>
            <w:tcW w:type="dxa" w:w="2016"/>
            <w:shd w:val="clear" w:color="auto" w:fill="F2F7FC"/>
          </w:tcPr>
          <w:p>
            <w:r>
              <w:rPr>
                <w:color w:val="595959"/>
                <w:sz w:val="18"/>
              </w:rPr>
              <w:t>Naive</w:t>
            </w:r>
          </w:p>
        </w:tc>
        <w:tc>
          <w:tcPr>
            <w:tcW w:type="dxa" w:w="5328"/>
            <w:shd w:val="clear" w:color="auto" w:fill="F2F7FC"/>
          </w:tcPr>
          <w:p>
            <w:r>
              <w:rPr>
                <w:color w:val="595959"/>
                <w:sz w:val="18"/>
              </w:rPr>
              <w:t>Last observed value carried forward. The minimum bar every model must clear.</w:t>
            </w:r>
          </w:p>
        </w:tc>
      </w:tr>
      <w:tr>
        <w:tc>
          <w:tcPr>
            <w:tcW w:type="dxa" w:w="2160"/>
            <w:shd w:val="clear" w:color="auto" w:fill="FFFFFF"/>
          </w:tcPr>
          <w:p>
            <w:r>
              <w:rPr>
                <w:b/>
                <w:color w:val="595959"/>
                <w:sz w:val="18"/>
              </w:rPr>
              <w:t>Classical</w:t>
            </w:r>
          </w:p>
        </w:tc>
        <w:tc>
          <w:tcPr>
            <w:tcW w:type="dxa" w:w="2016"/>
            <w:shd w:val="clear" w:color="auto" w:fill="FFFFFF"/>
          </w:tcPr>
          <w:p>
            <w:r>
              <w:rPr>
                <w:color w:val="595959"/>
                <w:sz w:val="18"/>
              </w:rPr>
              <w:t>ARIMA</w:t>
            </w:r>
          </w:p>
        </w:tc>
        <w:tc>
          <w:tcPr>
            <w:tcW w:type="dxa" w:w="5328"/>
            <w:shd w:val="clear" w:color="auto" w:fill="FFFFFF"/>
          </w:tcPr>
          <w:p>
            <w:r>
              <w:rPr>
                <w:color w:val="595959"/>
                <w:sz w:val="18"/>
              </w:rPr>
              <w:t>Captures autocorrelation in a single series using its own history and forecast errors.</w:t>
            </w:r>
          </w:p>
        </w:tc>
      </w:tr>
      <w:tr>
        <w:tc>
          <w:tcPr>
            <w:tcW w:type="dxa" w:w="2160"/>
            <w:shd w:val="clear" w:color="auto" w:fill="F2F7FC"/>
          </w:tcPr>
          <w:p>
            <w:r>
              <w:rPr>
                <w:b/>
                <w:color w:val="595959"/>
                <w:sz w:val="18"/>
              </w:rPr>
              <w:t>Classical</w:t>
            </w:r>
          </w:p>
        </w:tc>
        <w:tc>
          <w:tcPr>
            <w:tcW w:type="dxa" w:w="2016"/>
            <w:shd w:val="clear" w:color="auto" w:fill="F2F7FC"/>
          </w:tcPr>
          <w:p>
            <w:r>
              <w:rPr>
                <w:color w:val="595959"/>
                <w:sz w:val="18"/>
              </w:rPr>
              <w:t>VAR</w:t>
            </w:r>
          </w:p>
        </w:tc>
        <w:tc>
          <w:tcPr>
            <w:tcW w:type="dxa" w:w="5328"/>
            <w:shd w:val="clear" w:color="auto" w:fill="F2F7FC"/>
          </w:tcPr>
          <w:p>
            <w:r>
              <w:rPr>
                <w:color w:val="595959"/>
                <w:sz w:val="18"/>
              </w:rPr>
              <w:t>Models inflation and unemployment jointly, capturing cross-variable dynamics.</w:t>
            </w:r>
          </w:p>
        </w:tc>
      </w:tr>
      <w:tr>
        <w:tc>
          <w:tcPr>
            <w:tcW w:type="dxa" w:w="2160"/>
            <w:shd w:val="clear" w:color="auto" w:fill="FFFFFF"/>
          </w:tcPr>
          <w:p>
            <w:r>
              <w:rPr>
                <w:b/>
                <w:color w:val="595959"/>
                <w:sz w:val="18"/>
              </w:rPr>
              <w:t>Machine Learning</w:t>
            </w:r>
          </w:p>
        </w:tc>
        <w:tc>
          <w:tcPr>
            <w:tcW w:type="dxa" w:w="2016"/>
            <w:shd w:val="clear" w:color="auto" w:fill="FFFFFF"/>
          </w:tcPr>
          <w:p>
            <w:r>
              <w:rPr>
                <w:color w:val="595959"/>
                <w:sz w:val="18"/>
              </w:rPr>
              <w:t>Ridge</w:t>
            </w:r>
          </w:p>
        </w:tc>
        <w:tc>
          <w:tcPr>
            <w:tcW w:type="dxa" w:w="5328"/>
            <w:shd w:val="clear" w:color="auto" w:fill="FFFFFF"/>
          </w:tcPr>
          <w:p>
            <w:r>
              <w:rPr>
                <w:color w:val="595959"/>
                <w:sz w:val="18"/>
              </w:rPr>
              <w:t>Penalised linear regression across all macro predictors. Controls overfitting via L2 penalty.</w:t>
            </w:r>
          </w:p>
        </w:tc>
      </w:tr>
      <w:tr>
        <w:tc>
          <w:tcPr>
            <w:tcW w:type="dxa" w:w="2160"/>
            <w:shd w:val="clear" w:color="auto" w:fill="F2F7FC"/>
          </w:tcPr>
          <w:p>
            <w:r>
              <w:rPr>
                <w:b/>
                <w:color w:val="595959"/>
                <w:sz w:val="18"/>
              </w:rPr>
              <w:t>Machine Learning</w:t>
            </w:r>
          </w:p>
        </w:tc>
        <w:tc>
          <w:tcPr>
            <w:tcW w:type="dxa" w:w="2016"/>
            <w:shd w:val="clear" w:color="auto" w:fill="F2F7FC"/>
          </w:tcPr>
          <w:p>
            <w:r>
              <w:rPr>
                <w:color w:val="595959"/>
                <w:sz w:val="18"/>
              </w:rPr>
              <w:t>Lasso</w:t>
            </w:r>
          </w:p>
        </w:tc>
        <w:tc>
          <w:tcPr>
            <w:tcW w:type="dxa" w:w="5328"/>
            <w:shd w:val="clear" w:color="auto" w:fill="F2F7FC"/>
          </w:tcPr>
          <w:p>
            <w:r>
              <w:rPr>
                <w:color w:val="595959"/>
                <w:sz w:val="18"/>
              </w:rPr>
              <w:t>Like Ridge but performs automatic variable selection via L1 penalty.</w:t>
            </w:r>
          </w:p>
        </w:tc>
      </w:tr>
      <w:tr>
        <w:tc>
          <w:tcPr>
            <w:tcW w:type="dxa" w:w="2160"/>
            <w:shd w:val="clear" w:color="auto" w:fill="FFFFFF"/>
          </w:tcPr>
          <w:p>
            <w:r>
              <w:rPr>
                <w:b/>
                <w:color w:val="595959"/>
                <w:sz w:val="18"/>
              </w:rPr>
              <w:t>Machine Learning</w:t>
            </w:r>
          </w:p>
        </w:tc>
        <w:tc>
          <w:tcPr>
            <w:tcW w:type="dxa" w:w="2016"/>
            <w:shd w:val="clear" w:color="auto" w:fill="FFFFFF"/>
          </w:tcPr>
          <w:p>
            <w:r>
              <w:rPr>
                <w:color w:val="595959"/>
                <w:sz w:val="18"/>
              </w:rPr>
              <w:t>Random Forest</w:t>
            </w:r>
          </w:p>
        </w:tc>
        <w:tc>
          <w:tcPr>
            <w:tcW w:type="dxa" w:w="5328"/>
            <w:shd w:val="clear" w:color="auto" w:fill="FFFFFF"/>
          </w:tcPr>
          <w:p>
            <w:r>
              <w:rPr>
                <w:color w:val="595959"/>
                <w:sz w:val="18"/>
              </w:rPr>
              <w:t>Ensemble of 100 decision trees. Robust to outliers and nonlinear relationships.</w:t>
            </w:r>
          </w:p>
        </w:tc>
      </w:tr>
      <w:tr>
        <w:tc>
          <w:tcPr>
            <w:tcW w:type="dxa" w:w="2160"/>
            <w:shd w:val="clear" w:color="auto" w:fill="F2F7FC"/>
          </w:tcPr>
          <w:p>
            <w:r>
              <w:rPr>
                <w:b/>
                <w:color w:val="595959"/>
                <w:sz w:val="18"/>
              </w:rPr>
              <w:t>Machine Learning</w:t>
            </w:r>
          </w:p>
        </w:tc>
        <w:tc>
          <w:tcPr>
            <w:tcW w:type="dxa" w:w="2016"/>
            <w:shd w:val="clear" w:color="auto" w:fill="F2F7FC"/>
          </w:tcPr>
          <w:p>
            <w:r>
              <w:rPr>
                <w:color w:val="595959"/>
                <w:sz w:val="18"/>
              </w:rPr>
              <w:t>XGBoost</w:t>
            </w:r>
          </w:p>
        </w:tc>
        <w:tc>
          <w:tcPr>
            <w:tcW w:type="dxa" w:w="5328"/>
            <w:shd w:val="clear" w:color="auto" w:fill="F2F7FC"/>
          </w:tcPr>
          <w:p>
            <w:r>
              <w:rPr>
                <w:color w:val="595959"/>
                <w:sz w:val="18"/>
              </w:rPr>
              <w:t>Gradient boosting algorithm. Industry standard for tabular forecasting competitions.</w:t>
            </w:r>
          </w:p>
        </w:tc>
      </w:tr>
    </w:tbl>
    <w:p/>
    <w:p>
      <w:pPr>
        <w:spacing w:before="200" w:after="60"/>
      </w:pPr>
      <w:r>
        <w:rPr>
          <w:b/>
          <w:color w:val="2E75B6"/>
          <w:sz w:val="22"/>
        </w:rPr>
        <w:t>Evaluation Framework</w:t>
      </w:r>
    </w:p>
    <w:p>
      <w:pPr>
        <w:pStyle w:val="ListBullet"/>
        <w:spacing w:after="60"/>
      </w:pPr>
      <w:r>
        <w:rPr>
          <w:b/>
          <w:color w:val="1F3964"/>
          <w:sz w:val="20"/>
        </w:rPr>
        <w:t xml:space="preserve">Method:  </w:t>
      </w:r>
      <w:r>
        <w:rPr>
          <w:color w:val="595959"/>
          <w:sz w:val="20"/>
        </w:rPr>
        <w:t>Expanding-window backtesting from January 2000 through February 2026 (~300 evaluation points per model).</w:t>
      </w:r>
    </w:p>
    <w:p>
      <w:pPr>
        <w:pStyle w:val="ListBullet"/>
        <w:spacing w:after="60"/>
      </w:pPr>
      <w:r>
        <w:rPr>
          <w:b/>
          <w:color w:val="1F3964"/>
          <w:sz w:val="20"/>
        </w:rPr>
        <w:t xml:space="preserve">Min training:  </w:t>
      </w:r>
      <w:r>
        <w:rPr>
          <w:color w:val="595959"/>
          <w:sz w:val="20"/>
        </w:rPr>
        <w:t>Minimum 60 months of training data before the first forecast.</w:t>
      </w:r>
    </w:p>
    <w:p>
      <w:pPr>
        <w:pStyle w:val="ListBullet"/>
        <w:spacing w:after="60"/>
      </w:pPr>
      <w:r>
        <w:rPr>
          <w:b/>
          <w:color w:val="1F3964"/>
          <w:sz w:val="20"/>
        </w:rPr>
        <w:t xml:space="preserve">Metrics:  </w:t>
      </w:r>
      <w:r>
        <w:rPr>
          <w:color w:val="595959"/>
          <w:sz w:val="20"/>
        </w:rPr>
        <w:t>RMSE (Root Mean Squared Error) and MAE (Mean Absolute Error), reported separately per target and horizon.</w:t>
      </w:r>
    </w:p>
    <w:p>
      <w:pPr>
        <w:pStyle w:val="ListBullet"/>
        <w:spacing w:after="60"/>
      </w:pPr>
      <w:r>
        <w:rPr>
          <w:b/>
          <w:color w:val="1F3964"/>
          <w:sz w:val="20"/>
        </w:rPr>
        <w:t xml:space="preserve">Leakage:  </w:t>
      </w:r>
      <w:r>
        <w:rPr>
          <w:color w:val="595959"/>
          <w:sz w:val="20"/>
        </w:rPr>
        <w:t>No look-ahead bias — each model trained only on data available at that point in time.</w:t>
      </w:r>
    </w:p>
    <w:p>
      <w:pPr>
        <w:spacing w:before="360" w:after="80"/>
      </w:pPr>
      <w:r>
        <w:rPr>
          <w:b/>
          <w:color w:val="1F3964"/>
          <w:sz w:val="30"/>
        </w:rPr>
        <w:t>3. Final Deliverables</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1F3964"/>
          </w:tcPr>
          <w:p>
            <w:pPr>
              <w:jc w:val="center"/>
            </w:pPr>
            <w:r>
              <w:rPr>
                <w:b/>
                <w:color w:val="FFFFFF"/>
                <w:sz w:val="18"/>
              </w:rPr>
              <w:t>Deliverable</w:t>
            </w:r>
          </w:p>
        </w:tc>
        <w:tc>
          <w:tcPr>
            <w:tcW w:type="dxa" w:w="2880"/>
            <w:shd w:val="clear" w:color="auto" w:fill="1F3964"/>
          </w:tcPr>
          <w:p>
            <w:pPr>
              <w:jc w:val="center"/>
            </w:pPr>
            <w:r>
              <w:rPr>
                <w:b/>
                <w:color w:val="FFFFFF"/>
                <w:sz w:val="18"/>
              </w:rPr>
              <w:t>Format</w:t>
            </w:r>
          </w:p>
        </w:tc>
        <w:tc>
          <w:tcPr>
            <w:tcW w:type="dxa" w:w="3456"/>
            <w:shd w:val="clear" w:color="auto" w:fill="1F3964"/>
          </w:tcPr>
          <w:p>
            <w:pPr>
              <w:jc w:val="center"/>
            </w:pPr>
            <w:r>
              <w:rPr>
                <w:b/>
                <w:color w:val="FFFFFF"/>
                <w:sz w:val="18"/>
              </w:rPr>
              <w:t>Description</w:t>
            </w:r>
          </w:p>
        </w:tc>
      </w:tr>
      <w:tr>
        <w:tc>
          <w:tcPr>
            <w:tcW w:type="dxa" w:w="3168"/>
            <w:shd w:val="clear" w:color="auto" w:fill="F2F7FC"/>
          </w:tcPr>
          <w:p>
            <w:r>
              <w:rPr>
                <w:b/>
                <w:color w:val="595959"/>
                <w:sz w:val="18"/>
              </w:rPr>
              <w:t>Interactive Results Dashboard</w:t>
            </w:r>
          </w:p>
        </w:tc>
        <w:tc>
          <w:tcPr>
            <w:tcW w:type="dxa" w:w="2880"/>
            <w:shd w:val="clear" w:color="auto" w:fill="F2F7FC"/>
          </w:tcPr>
          <w:p>
            <w:r>
              <w:rPr>
                <w:color w:val="595959"/>
                <w:sz w:val="18"/>
              </w:rPr>
              <w:t>Single self-contained .html file</w:t>
            </w:r>
          </w:p>
        </w:tc>
        <w:tc>
          <w:tcPr>
            <w:tcW w:type="dxa" w:w="3456"/>
            <w:shd w:val="clear" w:color="auto" w:fill="F2F7FC"/>
          </w:tcPr>
          <w:p>
            <w:r>
              <w:rPr>
                <w:color w:val="595959"/>
                <w:sz w:val="18"/>
              </w:rPr>
              <w:t>Plotly dashboard with model toggles, horizon dropdowns, sub-period analysis, and feature importance</w:t>
            </w:r>
          </w:p>
        </w:tc>
      </w:tr>
      <w:tr>
        <w:tc>
          <w:tcPr>
            <w:tcW w:type="dxa" w:w="3168"/>
            <w:shd w:val="clear" w:color="auto" w:fill="FFFFFF"/>
          </w:tcPr>
          <w:p>
            <w:r>
              <w:rPr>
                <w:b/>
                <w:color w:val="595959"/>
                <w:sz w:val="18"/>
              </w:rPr>
              <w:t>Progress Report (Days 1–4)</w:t>
            </w:r>
          </w:p>
        </w:tc>
        <w:tc>
          <w:tcPr>
            <w:tcW w:type="dxa" w:w="2880"/>
            <w:shd w:val="clear" w:color="auto" w:fill="FFFFFF"/>
          </w:tcPr>
          <w:p>
            <w:r>
              <w:rPr>
                <w:color w:val="595959"/>
                <w:sz w:val="18"/>
              </w:rPr>
              <w:t>Word document (.docx)</w:t>
            </w:r>
          </w:p>
        </w:tc>
        <w:tc>
          <w:tcPr>
            <w:tcW w:type="dxa" w:w="3456"/>
            <w:shd w:val="clear" w:color="auto" w:fill="FFFFFF"/>
          </w:tcPr>
          <w:p>
            <w:r>
              <w:rPr>
                <w:color w:val="595959"/>
                <w:sz w:val="18"/>
              </w:rPr>
              <w:t>Client-facing write-up of scope, data, EDA, and classical model results</w:t>
            </w:r>
          </w:p>
        </w:tc>
      </w:tr>
      <w:tr>
        <w:tc>
          <w:tcPr>
            <w:tcW w:type="dxa" w:w="3168"/>
            <w:shd w:val="clear" w:color="auto" w:fill="F2F7FC"/>
          </w:tcPr>
          <w:p>
            <w:r>
              <w:rPr>
                <w:b/>
                <w:color w:val="595959"/>
                <w:sz w:val="18"/>
              </w:rPr>
              <w:t>Final Report</w:t>
            </w:r>
          </w:p>
        </w:tc>
        <w:tc>
          <w:tcPr>
            <w:tcW w:type="dxa" w:w="2880"/>
            <w:shd w:val="clear" w:color="auto" w:fill="F2F7FC"/>
          </w:tcPr>
          <w:p>
            <w:r>
              <w:rPr>
                <w:color w:val="595959"/>
                <w:sz w:val="18"/>
              </w:rPr>
              <w:t>Word document (.docx)</w:t>
            </w:r>
          </w:p>
        </w:tc>
        <w:tc>
          <w:tcPr>
            <w:tcW w:type="dxa" w:w="3456"/>
            <w:shd w:val="clear" w:color="auto" w:fill="F2F7FC"/>
          </w:tcPr>
          <w:p>
            <w:r>
              <w:rPr>
                <w:color w:val="595959"/>
                <w:sz w:val="18"/>
              </w:rPr>
              <w:t>Full write-up including ML results, findings, and conclusions</w:t>
            </w:r>
          </w:p>
        </w:tc>
      </w:tr>
      <w:tr>
        <w:tc>
          <w:tcPr>
            <w:tcW w:type="dxa" w:w="3168"/>
            <w:shd w:val="clear" w:color="auto" w:fill="FFFFFF"/>
          </w:tcPr>
          <w:p>
            <w:r>
              <w:rPr>
                <w:b/>
                <w:color w:val="595959"/>
                <w:sz w:val="18"/>
              </w:rPr>
              <w:t>Reproducible Codebase</w:t>
            </w:r>
          </w:p>
        </w:tc>
        <w:tc>
          <w:tcPr>
            <w:tcW w:type="dxa" w:w="2880"/>
            <w:shd w:val="clear" w:color="auto" w:fill="FFFFFF"/>
          </w:tcPr>
          <w:p>
            <w:r>
              <w:rPr>
                <w:color w:val="595959"/>
                <w:sz w:val="18"/>
              </w:rPr>
              <w:t>Python scripts + .env + README</w:t>
            </w:r>
          </w:p>
        </w:tc>
        <w:tc>
          <w:tcPr>
            <w:tcW w:type="dxa" w:w="3456"/>
            <w:shd w:val="clear" w:color="auto" w:fill="FFFFFF"/>
          </w:tcPr>
          <w:p>
            <w:r>
              <w:rPr>
                <w:color w:val="595959"/>
                <w:sz w:val="18"/>
              </w:rPr>
              <w:t>End-to-end pipeline from raw FRED data to final outputs, runnable from one API key</w:t>
            </w:r>
          </w:p>
        </w:tc>
      </w:tr>
      <w:tr>
        <w:tc>
          <w:tcPr>
            <w:tcW w:type="dxa" w:w="3168"/>
            <w:shd w:val="clear" w:color="auto" w:fill="F2F7FC"/>
          </w:tcPr>
          <w:p>
            <w:r>
              <w:rPr>
                <w:b/>
                <w:color w:val="595959"/>
                <w:sz w:val="18"/>
              </w:rPr>
              <w:t>Master Error Table</w:t>
            </w:r>
          </w:p>
        </w:tc>
        <w:tc>
          <w:tcPr>
            <w:tcW w:type="dxa" w:w="2880"/>
            <w:shd w:val="clear" w:color="auto" w:fill="F2F7FC"/>
          </w:tcPr>
          <w:p>
            <w:r>
              <w:rPr>
                <w:color w:val="595959"/>
                <w:sz w:val="18"/>
              </w:rPr>
              <w:t>CSV (results/master_errors.csv)</w:t>
            </w:r>
          </w:p>
        </w:tc>
        <w:tc>
          <w:tcPr>
            <w:tcW w:type="dxa" w:w="3456"/>
            <w:shd w:val="clear" w:color="auto" w:fill="F2F7FC"/>
          </w:tcPr>
          <w:p>
            <w:r>
              <w:rPr>
                <w:color w:val="595959"/>
                <w:sz w:val="18"/>
              </w:rPr>
              <w:t>RMSE and MAE for all 7 models × 2 targets × 3 horizons</w:t>
            </w:r>
          </w:p>
        </w:tc>
      </w:tr>
    </w:tbl>
    <w:p>
      <w:pPr>
        <w:spacing w:before="360" w:after="80"/>
      </w:pPr>
      <w:r>
        <w:rPr>
          <w:b/>
          <w:color w:val="1F3964"/>
          <w:sz w:val="30"/>
        </w:rPr>
        <w:t>4. Day-by-Day Plan</w:t>
      </w:r>
    </w:p>
    <w:p>
      <w:pPr>
        <w:spacing w:after="120"/>
      </w:pPr>
      <w:r>
        <w:rPr>
          <w:color w:val="595959"/>
          <w:sz w:val="20"/>
        </w:rPr>
        <w:t>The plan below reflects the revised structure agreed after Day 6, including the decision to replace static matplotlib output (originally planned for Day 9) with an interactive Plotly HTML dashboard.</w:t>
      </w:r>
    </w:p>
    <w:p>
      <w:pPr>
        <w:spacing w:before="200" w:after="60"/>
      </w:pPr>
      <w:r>
        <w:rPr>
          <w:b/>
          <w:color w:val="2E75B6"/>
          <w:sz w:val="22"/>
        </w:rPr>
        <w:t>Day 1 — Project Scoping  ✅  Complete</w:t>
      </w:r>
    </w:p>
    <w:p>
      <w:pPr>
        <w:spacing w:after="120"/>
      </w:pPr>
      <w:r>
        <w:rPr>
          <w:color w:val="595959"/>
          <w:sz w:val="20"/>
        </w:rPr>
        <w:t>Lock in all design decisions before touching any data or code.</w:t>
      </w:r>
    </w:p>
    <w:tbl>
      <w:tblPr>
        <w:tblStyle w:val="TableGrid"/>
        <w:tblW w:type="auto" w:w="0"/>
        <w:jc w:val="left"/>
        <w:tblLook w:firstColumn="1" w:firstRow="1" w:lastColumn="0" w:lastRow="0" w:noHBand="0" w:noVBand="1" w:val="04A0"/>
      </w:tblPr>
      <w:tblGrid>
        <w:gridCol w:w="4703"/>
        <w:gridCol w:w="4703"/>
      </w:tblGrid>
      <w:tr>
        <w:tc>
          <w:tcPr>
            <w:tcW w:type="dxa" w:w="3312"/>
            <w:shd w:val="clear" w:color="auto" w:fill="1F3964"/>
          </w:tcPr>
          <w:p>
            <w:pPr>
              <w:jc w:val="center"/>
            </w:pPr>
            <w:r>
              <w:rPr>
                <w:b/>
                <w:color w:val="FFFFFF"/>
                <w:sz w:val="18"/>
              </w:rPr>
              <w:t>Decision</w:t>
            </w:r>
          </w:p>
        </w:tc>
        <w:tc>
          <w:tcPr>
            <w:tcW w:type="dxa" w:w="6192"/>
            <w:shd w:val="clear" w:color="auto" w:fill="1F3964"/>
          </w:tcPr>
          <w:p>
            <w:pPr>
              <w:jc w:val="center"/>
            </w:pPr>
            <w:r>
              <w:rPr>
                <w:b/>
                <w:color w:val="FFFFFF"/>
                <w:sz w:val="18"/>
              </w:rPr>
              <w:t>Choice Made</w:t>
            </w:r>
          </w:p>
        </w:tc>
      </w:tr>
      <w:tr>
        <w:tc>
          <w:tcPr>
            <w:tcW w:type="dxa" w:w="3312"/>
            <w:shd w:val="clear" w:color="auto" w:fill="F2F7FC"/>
          </w:tcPr>
          <w:p>
            <w:r>
              <w:rPr>
                <w:b/>
                <w:color w:val="595959"/>
                <w:sz w:val="18"/>
              </w:rPr>
              <w:t>Inflation measure</w:t>
            </w:r>
          </w:p>
        </w:tc>
        <w:tc>
          <w:tcPr>
            <w:tcW w:type="dxa" w:w="6192"/>
            <w:shd w:val="clear" w:color="auto" w:fill="F2F7FC"/>
          </w:tcPr>
          <w:p>
            <w:r>
              <w:rPr>
                <w:color w:val="595959"/>
                <w:sz w:val="18"/>
              </w:rPr>
              <w:t>Year-over-year % change in CPI (12-month rolling)</w:t>
            </w:r>
          </w:p>
        </w:tc>
      </w:tr>
      <w:tr>
        <w:tc>
          <w:tcPr>
            <w:tcW w:type="dxa" w:w="3312"/>
            <w:shd w:val="clear" w:color="auto" w:fill="FFFFFF"/>
          </w:tcPr>
          <w:p>
            <w:r>
              <w:rPr>
                <w:b/>
                <w:color w:val="595959"/>
                <w:sz w:val="18"/>
              </w:rPr>
              <w:t>Forecast horizons</w:t>
            </w:r>
          </w:p>
        </w:tc>
        <w:tc>
          <w:tcPr>
            <w:tcW w:type="dxa" w:w="6192"/>
            <w:shd w:val="clear" w:color="auto" w:fill="FFFFFF"/>
          </w:tcPr>
          <w:p>
            <w:r>
              <w:rPr>
                <w:color w:val="595959"/>
                <w:sz w:val="18"/>
              </w:rPr>
              <w:t>h = 1, 3, 6 months ahead</w:t>
            </w:r>
          </w:p>
        </w:tc>
      </w:tr>
      <w:tr>
        <w:tc>
          <w:tcPr>
            <w:tcW w:type="dxa" w:w="3312"/>
            <w:shd w:val="clear" w:color="auto" w:fill="F2F7FC"/>
          </w:tcPr>
          <w:p>
            <w:r>
              <w:rPr>
                <w:b/>
                <w:color w:val="595959"/>
                <w:sz w:val="18"/>
              </w:rPr>
              <w:t>Forecast frequency</w:t>
            </w:r>
          </w:p>
        </w:tc>
        <w:tc>
          <w:tcPr>
            <w:tcW w:type="dxa" w:w="6192"/>
            <w:shd w:val="clear" w:color="auto" w:fill="F2F7FC"/>
          </w:tcPr>
          <w:p>
            <w:r>
              <w:rPr>
                <w:color w:val="595959"/>
                <w:sz w:val="18"/>
              </w:rPr>
              <w:t>Monthly</w:t>
            </w:r>
          </w:p>
        </w:tc>
      </w:tr>
      <w:tr>
        <w:tc>
          <w:tcPr>
            <w:tcW w:type="dxa" w:w="3312"/>
            <w:shd w:val="clear" w:color="auto" w:fill="FFFFFF"/>
          </w:tcPr>
          <w:p>
            <w:r>
              <w:rPr>
                <w:b/>
                <w:color w:val="595959"/>
                <w:sz w:val="18"/>
              </w:rPr>
              <w:t>Evaluation method</w:t>
            </w:r>
          </w:p>
        </w:tc>
        <w:tc>
          <w:tcPr>
            <w:tcW w:type="dxa" w:w="6192"/>
            <w:shd w:val="clear" w:color="auto" w:fill="FFFFFF"/>
          </w:tcPr>
          <w:p>
            <w:r>
              <w:rPr>
                <w:color w:val="595959"/>
                <w:sz w:val="18"/>
              </w:rPr>
              <w:t>Expanding window from January 2000</w:t>
            </w:r>
          </w:p>
        </w:tc>
      </w:tr>
      <w:tr>
        <w:tc>
          <w:tcPr>
            <w:tcW w:type="dxa" w:w="3312"/>
            <w:shd w:val="clear" w:color="auto" w:fill="F2F7FC"/>
          </w:tcPr>
          <w:p>
            <w:r>
              <w:rPr>
                <w:b/>
                <w:color w:val="595959"/>
                <w:sz w:val="18"/>
              </w:rPr>
              <w:t>Min training window</w:t>
            </w:r>
          </w:p>
        </w:tc>
        <w:tc>
          <w:tcPr>
            <w:tcW w:type="dxa" w:w="6192"/>
            <w:shd w:val="clear" w:color="auto" w:fill="F2F7FC"/>
          </w:tcPr>
          <w:p>
            <w:r>
              <w:rPr>
                <w:color w:val="595959"/>
                <w:sz w:val="18"/>
              </w:rPr>
              <w:t>60 months (5 years)</w:t>
            </w:r>
          </w:p>
        </w:tc>
      </w:tr>
    </w:tbl>
    <w:p/>
    <w:p>
      <w:pPr>
        <w:pStyle w:val="ListBullet"/>
        <w:spacing w:after="60"/>
      </w:pPr>
      <w:r>
        <w:rPr>
          <w:b/>
          <w:color w:val="1F3964"/>
          <w:sz w:val="20"/>
        </w:rPr>
        <w:t xml:space="preserve">Deliverable:  </w:t>
      </w:r>
      <w:r>
        <w:rPr>
          <w:color w:val="595959"/>
          <w:sz w:val="20"/>
        </w:rPr>
        <w:t>One-paragraph project objective</w:t>
      </w:r>
    </w:p>
    <w:p>
      <w:pPr>
        <w:pStyle w:val="ListBullet"/>
        <w:spacing w:after="60"/>
      </w:pPr>
      <w:r>
        <w:rPr>
          <w:color w:val="595959"/>
          <w:sz w:val="20"/>
        </w:rPr>
        <w:t>Locked list of target variables, forecast horizons, and initial model list</w:t>
      </w:r>
    </w:p>
    <w:p>
      <w:pPr>
        <w:spacing w:before="200" w:after="60"/>
      </w:pPr>
      <w:r>
        <w:rPr>
          <w:b/>
          <w:color w:val="2E75B6"/>
          <w:sz w:val="22"/>
        </w:rPr>
        <w:t>Day 2 — Data Collection  ✅  Complete</w:t>
      </w:r>
    </w:p>
    <w:p>
      <w:pPr>
        <w:spacing w:after="120"/>
      </w:pPr>
      <w:r>
        <w:rPr>
          <w:color w:val="595959"/>
          <w:sz w:val="20"/>
        </w:rPr>
        <w:t>Pull all macroeconomic series from FRED, align to monthly frequency, and apply transformations. Tools: fredapi, pandas, python-dotenv.</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F3964"/>
          </w:tcPr>
          <w:p>
            <w:pPr>
              <w:jc w:val="center"/>
            </w:pPr>
            <w:r>
              <w:rPr>
                <w:b/>
                <w:color w:val="FFFFFF"/>
                <w:sz w:val="18"/>
              </w:rPr>
              <w:t>Series</w:t>
            </w:r>
          </w:p>
        </w:tc>
        <w:tc>
          <w:tcPr>
            <w:tcW w:type="dxa" w:w="2160"/>
            <w:shd w:val="clear" w:color="auto" w:fill="1F3964"/>
          </w:tcPr>
          <w:p>
            <w:pPr>
              <w:jc w:val="center"/>
            </w:pPr>
            <w:r>
              <w:rPr>
                <w:b/>
                <w:color w:val="FFFFFF"/>
                <w:sz w:val="18"/>
              </w:rPr>
              <w:t>FRED ID</w:t>
            </w:r>
          </w:p>
        </w:tc>
        <w:tc>
          <w:tcPr>
            <w:tcW w:type="dxa" w:w="4464"/>
            <w:shd w:val="clear" w:color="auto" w:fill="1F3964"/>
          </w:tcPr>
          <w:p>
            <w:pPr>
              <w:jc w:val="center"/>
            </w:pPr>
            <w:r>
              <w:rPr>
                <w:b/>
                <w:color w:val="FFFFFF"/>
                <w:sz w:val="18"/>
              </w:rPr>
              <w:t>Transformation</w:t>
            </w:r>
          </w:p>
        </w:tc>
      </w:tr>
      <w:tr>
        <w:tc>
          <w:tcPr>
            <w:tcW w:type="dxa" w:w="2880"/>
            <w:shd w:val="clear" w:color="auto" w:fill="F2F7FC"/>
          </w:tcPr>
          <w:p>
            <w:r>
              <w:rPr>
                <w:b/>
                <w:color w:val="595959"/>
                <w:sz w:val="18"/>
              </w:rPr>
              <w:t>CPI (All Items)</w:t>
            </w:r>
          </w:p>
        </w:tc>
        <w:tc>
          <w:tcPr>
            <w:tcW w:type="dxa" w:w="2160"/>
            <w:shd w:val="clear" w:color="auto" w:fill="F2F7FC"/>
          </w:tcPr>
          <w:p>
            <w:r>
              <w:rPr>
                <w:color w:val="595959"/>
                <w:sz w:val="18"/>
              </w:rPr>
              <w:t>CPIAUCSL</w:t>
            </w:r>
          </w:p>
        </w:tc>
        <w:tc>
          <w:tcPr>
            <w:tcW w:type="dxa" w:w="4464"/>
            <w:shd w:val="clear" w:color="auto" w:fill="F2F7FC"/>
          </w:tcPr>
          <w:p>
            <w:r>
              <w:rPr>
                <w:color w:val="595959"/>
                <w:sz w:val="18"/>
              </w:rPr>
              <w:t>YoY % change</w:t>
            </w:r>
          </w:p>
        </w:tc>
      </w:tr>
      <w:tr>
        <w:tc>
          <w:tcPr>
            <w:tcW w:type="dxa" w:w="2880"/>
            <w:shd w:val="clear" w:color="auto" w:fill="FFFFFF"/>
          </w:tcPr>
          <w:p>
            <w:r>
              <w:rPr>
                <w:b/>
                <w:color w:val="595959"/>
                <w:sz w:val="18"/>
              </w:rPr>
              <w:t>Core CPI</w:t>
            </w:r>
          </w:p>
        </w:tc>
        <w:tc>
          <w:tcPr>
            <w:tcW w:type="dxa" w:w="2160"/>
            <w:shd w:val="clear" w:color="auto" w:fill="FFFFFF"/>
          </w:tcPr>
          <w:p>
            <w:r>
              <w:rPr>
                <w:color w:val="595959"/>
                <w:sz w:val="18"/>
              </w:rPr>
              <w:t>CPILFESL</w:t>
            </w:r>
          </w:p>
        </w:tc>
        <w:tc>
          <w:tcPr>
            <w:tcW w:type="dxa" w:w="4464"/>
            <w:shd w:val="clear" w:color="auto" w:fill="FFFFFF"/>
          </w:tcPr>
          <w:p>
            <w:r>
              <w:rPr>
                <w:color w:val="595959"/>
                <w:sz w:val="18"/>
              </w:rPr>
              <w:t>YoY % change</w:t>
            </w:r>
          </w:p>
        </w:tc>
      </w:tr>
      <w:tr>
        <w:tc>
          <w:tcPr>
            <w:tcW w:type="dxa" w:w="2880"/>
            <w:shd w:val="clear" w:color="auto" w:fill="F2F7FC"/>
          </w:tcPr>
          <w:p>
            <w:r>
              <w:rPr>
                <w:b/>
                <w:color w:val="595959"/>
                <w:sz w:val="18"/>
              </w:rPr>
              <w:t>Unemployment Rate</w:t>
            </w:r>
          </w:p>
        </w:tc>
        <w:tc>
          <w:tcPr>
            <w:tcW w:type="dxa" w:w="2160"/>
            <w:shd w:val="clear" w:color="auto" w:fill="F2F7FC"/>
          </w:tcPr>
          <w:p>
            <w:r>
              <w:rPr>
                <w:color w:val="595959"/>
                <w:sz w:val="18"/>
              </w:rPr>
              <w:t>UNRATE</w:t>
            </w:r>
          </w:p>
        </w:tc>
        <w:tc>
          <w:tcPr>
            <w:tcW w:type="dxa" w:w="4464"/>
            <w:shd w:val="clear" w:color="auto" w:fill="F2F7FC"/>
          </w:tcPr>
          <w:p>
            <w:r>
              <w:rPr>
                <w:color w:val="595959"/>
                <w:sz w:val="18"/>
              </w:rPr>
              <w:t>Level</w:t>
            </w:r>
          </w:p>
        </w:tc>
      </w:tr>
      <w:tr>
        <w:tc>
          <w:tcPr>
            <w:tcW w:type="dxa" w:w="2880"/>
            <w:shd w:val="clear" w:color="auto" w:fill="FFFFFF"/>
          </w:tcPr>
          <w:p>
            <w:r>
              <w:rPr>
                <w:b/>
                <w:color w:val="595959"/>
                <w:sz w:val="18"/>
              </w:rPr>
              <w:t>Federal Funds Rate</w:t>
            </w:r>
          </w:p>
        </w:tc>
        <w:tc>
          <w:tcPr>
            <w:tcW w:type="dxa" w:w="2160"/>
            <w:shd w:val="clear" w:color="auto" w:fill="FFFFFF"/>
          </w:tcPr>
          <w:p>
            <w:r>
              <w:rPr>
                <w:color w:val="595959"/>
                <w:sz w:val="18"/>
              </w:rPr>
              <w:t>FEDFUNDS</w:t>
            </w:r>
          </w:p>
        </w:tc>
        <w:tc>
          <w:tcPr>
            <w:tcW w:type="dxa" w:w="4464"/>
            <w:shd w:val="clear" w:color="auto" w:fill="FFFFFF"/>
          </w:tcPr>
          <w:p>
            <w:r>
              <w:rPr>
                <w:color w:val="595959"/>
                <w:sz w:val="18"/>
              </w:rPr>
              <w:t>Level</w:t>
            </w:r>
          </w:p>
        </w:tc>
      </w:tr>
      <w:tr>
        <w:tc>
          <w:tcPr>
            <w:tcW w:type="dxa" w:w="2880"/>
            <w:shd w:val="clear" w:color="auto" w:fill="F2F7FC"/>
          </w:tcPr>
          <w:p>
            <w:r>
              <w:rPr>
                <w:b/>
                <w:color w:val="595959"/>
                <w:sz w:val="18"/>
              </w:rPr>
              <w:t>10-Year Treasury</w:t>
            </w:r>
          </w:p>
        </w:tc>
        <w:tc>
          <w:tcPr>
            <w:tcW w:type="dxa" w:w="2160"/>
            <w:shd w:val="clear" w:color="auto" w:fill="F2F7FC"/>
          </w:tcPr>
          <w:p>
            <w:r>
              <w:rPr>
                <w:color w:val="595959"/>
                <w:sz w:val="18"/>
              </w:rPr>
              <w:t>GS10</w:t>
            </w:r>
          </w:p>
        </w:tc>
        <w:tc>
          <w:tcPr>
            <w:tcW w:type="dxa" w:w="4464"/>
            <w:shd w:val="clear" w:color="auto" w:fill="F2F7FC"/>
          </w:tcPr>
          <w:p>
            <w:r>
              <w:rPr>
                <w:color w:val="595959"/>
                <w:sz w:val="18"/>
              </w:rPr>
              <w:t>Level</w:t>
            </w:r>
          </w:p>
        </w:tc>
      </w:tr>
      <w:tr>
        <w:tc>
          <w:tcPr>
            <w:tcW w:type="dxa" w:w="2880"/>
            <w:shd w:val="clear" w:color="auto" w:fill="FFFFFF"/>
          </w:tcPr>
          <w:p>
            <w:r>
              <w:rPr>
                <w:b/>
                <w:color w:val="595959"/>
                <w:sz w:val="18"/>
              </w:rPr>
              <w:t>3-Month T-Bill</w:t>
            </w:r>
          </w:p>
        </w:tc>
        <w:tc>
          <w:tcPr>
            <w:tcW w:type="dxa" w:w="2160"/>
            <w:shd w:val="clear" w:color="auto" w:fill="FFFFFF"/>
          </w:tcPr>
          <w:p>
            <w:r>
              <w:rPr>
                <w:color w:val="595959"/>
                <w:sz w:val="18"/>
              </w:rPr>
              <w:t>TB3MS</w:t>
            </w:r>
          </w:p>
        </w:tc>
        <w:tc>
          <w:tcPr>
            <w:tcW w:type="dxa" w:w="4464"/>
            <w:shd w:val="clear" w:color="auto" w:fill="FFFFFF"/>
          </w:tcPr>
          <w:p>
            <w:r>
              <w:rPr>
                <w:color w:val="595959"/>
                <w:sz w:val="18"/>
              </w:rPr>
              <w:t>Level</w:t>
            </w:r>
          </w:p>
        </w:tc>
      </w:tr>
      <w:tr>
        <w:tc>
          <w:tcPr>
            <w:tcW w:type="dxa" w:w="2880"/>
            <w:shd w:val="clear" w:color="auto" w:fill="F2F7FC"/>
          </w:tcPr>
          <w:p>
            <w:r>
              <w:rPr>
                <w:b/>
                <w:color w:val="595959"/>
                <w:sz w:val="18"/>
              </w:rPr>
              <w:t>Yield Spread (10Y−3M)</w:t>
            </w:r>
          </w:p>
        </w:tc>
        <w:tc>
          <w:tcPr>
            <w:tcW w:type="dxa" w:w="2160"/>
            <w:shd w:val="clear" w:color="auto" w:fill="F2F7FC"/>
          </w:tcPr>
          <w:p>
            <w:r>
              <w:rPr>
                <w:color w:val="595959"/>
                <w:sz w:val="18"/>
              </w:rPr>
              <w:t>Derived</w:t>
            </w:r>
          </w:p>
        </w:tc>
        <w:tc>
          <w:tcPr>
            <w:tcW w:type="dxa" w:w="4464"/>
            <w:shd w:val="clear" w:color="auto" w:fill="F2F7FC"/>
          </w:tcPr>
          <w:p>
            <w:r>
              <w:rPr>
                <w:color w:val="595959"/>
                <w:sz w:val="18"/>
              </w:rPr>
              <w:t>Level</w:t>
            </w:r>
          </w:p>
        </w:tc>
      </w:tr>
      <w:tr>
        <w:tc>
          <w:tcPr>
            <w:tcW w:type="dxa" w:w="2880"/>
            <w:shd w:val="clear" w:color="auto" w:fill="FFFFFF"/>
          </w:tcPr>
          <w:p>
            <w:r>
              <w:rPr>
                <w:b/>
                <w:color w:val="595959"/>
                <w:sz w:val="18"/>
              </w:rPr>
              <w:t>Industrial Production</w:t>
            </w:r>
          </w:p>
        </w:tc>
        <w:tc>
          <w:tcPr>
            <w:tcW w:type="dxa" w:w="2160"/>
            <w:shd w:val="clear" w:color="auto" w:fill="FFFFFF"/>
          </w:tcPr>
          <w:p>
            <w:r>
              <w:rPr>
                <w:color w:val="595959"/>
                <w:sz w:val="18"/>
              </w:rPr>
              <w:t>INDPRO</w:t>
            </w:r>
          </w:p>
        </w:tc>
        <w:tc>
          <w:tcPr>
            <w:tcW w:type="dxa" w:w="4464"/>
            <w:shd w:val="clear" w:color="auto" w:fill="FFFFFF"/>
          </w:tcPr>
          <w:p>
            <w:r>
              <w:rPr>
                <w:color w:val="595959"/>
                <w:sz w:val="18"/>
              </w:rPr>
              <w:t>MoM % change</w:t>
            </w:r>
          </w:p>
        </w:tc>
      </w:tr>
      <w:tr>
        <w:tc>
          <w:tcPr>
            <w:tcW w:type="dxa" w:w="2880"/>
            <w:shd w:val="clear" w:color="auto" w:fill="F2F7FC"/>
          </w:tcPr>
          <w:p>
            <w:r>
              <w:rPr>
                <w:b/>
                <w:color w:val="595959"/>
                <w:sz w:val="18"/>
              </w:rPr>
              <w:t>Nonfarm Payrolls</w:t>
            </w:r>
          </w:p>
        </w:tc>
        <w:tc>
          <w:tcPr>
            <w:tcW w:type="dxa" w:w="2160"/>
            <w:shd w:val="clear" w:color="auto" w:fill="F2F7FC"/>
          </w:tcPr>
          <w:p>
            <w:r>
              <w:rPr>
                <w:color w:val="595959"/>
                <w:sz w:val="18"/>
              </w:rPr>
              <w:t>PAYEMS</w:t>
            </w:r>
          </w:p>
        </w:tc>
        <w:tc>
          <w:tcPr>
            <w:tcW w:type="dxa" w:w="4464"/>
            <w:shd w:val="clear" w:color="auto" w:fill="F2F7FC"/>
          </w:tcPr>
          <w:p>
            <w:r>
              <w:rPr>
                <w:color w:val="595959"/>
                <w:sz w:val="18"/>
              </w:rPr>
              <w:t>MoM % change</w:t>
            </w:r>
          </w:p>
        </w:tc>
      </w:tr>
      <w:tr>
        <w:tc>
          <w:tcPr>
            <w:tcW w:type="dxa" w:w="2880"/>
            <w:shd w:val="clear" w:color="auto" w:fill="FFFFFF"/>
          </w:tcPr>
          <w:p>
            <w:r>
              <w:rPr>
                <w:b/>
                <w:color w:val="595959"/>
                <w:sz w:val="18"/>
              </w:rPr>
              <w:t>Oil Prices (WTI)</w:t>
            </w:r>
          </w:p>
        </w:tc>
        <w:tc>
          <w:tcPr>
            <w:tcW w:type="dxa" w:w="2160"/>
            <w:shd w:val="clear" w:color="auto" w:fill="FFFFFF"/>
          </w:tcPr>
          <w:p>
            <w:r>
              <w:rPr>
                <w:color w:val="595959"/>
                <w:sz w:val="18"/>
              </w:rPr>
              <w:t>DCOILWTICO</w:t>
            </w:r>
          </w:p>
        </w:tc>
        <w:tc>
          <w:tcPr>
            <w:tcW w:type="dxa" w:w="4464"/>
            <w:shd w:val="clear" w:color="auto" w:fill="FFFFFF"/>
          </w:tcPr>
          <w:p>
            <w:r>
              <w:rPr>
                <w:color w:val="595959"/>
                <w:sz w:val="18"/>
              </w:rPr>
              <w:t>MoM % change</w:t>
            </w:r>
          </w:p>
        </w:tc>
      </w:tr>
      <w:tr>
        <w:tc>
          <w:tcPr>
            <w:tcW w:type="dxa" w:w="2880"/>
            <w:shd w:val="clear" w:color="auto" w:fill="F2F7FC"/>
          </w:tcPr>
          <w:p>
            <w:r>
              <w:rPr>
                <w:b/>
                <w:color w:val="595959"/>
                <w:sz w:val="18"/>
              </w:rPr>
              <w:t>Consumer Sentiment</w:t>
            </w:r>
          </w:p>
        </w:tc>
        <w:tc>
          <w:tcPr>
            <w:tcW w:type="dxa" w:w="2160"/>
            <w:shd w:val="clear" w:color="auto" w:fill="F2F7FC"/>
          </w:tcPr>
          <w:p>
            <w:r>
              <w:rPr>
                <w:color w:val="595959"/>
                <w:sz w:val="18"/>
              </w:rPr>
              <w:t>UMCSENT</w:t>
            </w:r>
          </w:p>
        </w:tc>
        <w:tc>
          <w:tcPr>
            <w:tcW w:type="dxa" w:w="4464"/>
            <w:shd w:val="clear" w:color="auto" w:fill="F2F7FC"/>
          </w:tcPr>
          <w:p>
            <w:r>
              <w:rPr>
                <w:color w:val="595959"/>
                <w:sz w:val="18"/>
              </w:rPr>
              <w:t>Level</w:t>
            </w:r>
          </w:p>
        </w:tc>
      </w:tr>
      <w:tr>
        <w:tc>
          <w:tcPr>
            <w:tcW w:type="dxa" w:w="2880"/>
            <w:shd w:val="clear" w:color="auto" w:fill="FFFFFF"/>
          </w:tcPr>
          <w:p>
            <w:r>
              <w:rPr>
                <w:b/>
                <w:color w:val="595959"/>
                <w:sz w:val="18"/>
              </w:rPr>
              <w:t>M2 Money Supply</w:t>
            </w:r>
          </w:p>
        </w:tc>
        <w:tc>
          <w:tcPr>
            <w:tcW w:type="dxa" w:w="2160"/>
            <w:shd w:val="clear" w:color="auto" w:fill="FFFFFF"/>
          </w:tcPr>
          <w:p>
            <w:r>
              <w:rPr>
                <w:color w:val="595959"/>
                <w:sz w:val="18"/>
              </w:rPr>
              <w:t>M2SL</w:t>
            </w:r>
          </w:p>
        </w:tc>
        <w:tc>
          <w:tcPr>
            <w:tcW w:type="dxa" w:w="4464"/>
            <w:shd w:val="clear" w:color="auto" w:fill="FFFFFF"/>
          </w:tcPr>
          <w:p>
            <w:r>
              <w:rPr>
                <w:color w:val="595959"/>
                <w:sz w:val="18"/>
              </w:rPr>
              <w:t>MoM % change</w:t>
            </w:r>
          </w:p>
        </w:tc>
      </w:tr>
    </w:tbl>
    <w:p/>
    <w:p>
      <w:pPr>
        <w:pStyle w:val="ListBullet"/>
        <w:spacing w:after="60"/>
      </w:pPr>
      <w:r>
        <w:rPr>
          <w:b/>
          <w:color w:val="1F3964"/>
          <w:sz w:val="20"/>
        </w:rPr>
        <w:t xml:space="preserve">Output:  </w:t>
      </w:r>
      <w:r>
        <w:rPr>
          <w:color w:val="595959"/>
          <w:sz w:val="20"/>
        </w:rPr>
        <w:t>data/raw/raw_macro.csv — 435 rows, 11 series, 1990–2026</w:t>
      </w:r>
    </w:p>
    <w:p>
      <w:pPr>
        <w:pStyle w:val="ListBullet"/>
        <w:spacing w:after="60"/>
      </w:pPr>
      <w:r>
        <w:rPr>
          <w:color w:val="595959"/>
          <w:sz w:val="20"/>
        </w:rPr>
        <w:t>data/processed/macro_monthly.csv — 421 rows, 12 model-ready features</w:t>
      </w:r>
    </w:p>
    <w:p>
      <w:pPr>
        <w:pStyle w:val="ListBullet"/>
        <w:spacing w:after="60"/>
      </w:pPr>
      <w:r>
        <w:rPr>
          <w:color w:val="595959"/>
          <w:sz w:val="20"/>
        </w:rPr>
        <w:t>data/data_dictionary.md — full variable definitions</w:t>
      </w:r>
    </w:p>
    <w:p>
      <w:pPr>
        <w:spacing w:before="200" w:after="60"/>
      </w:pPr>
      <w:r>
        <w:rPr>
          <w:b/>
          <w:color w:val="2E75B6"/>
          <w:sz w:val="22"/>
        </w:rPr>
        <w:t>Day 3 — Exploratory Data Analysis  ✅  Complete</w:t>
      </w:r>
    </w:p>
    <w:p>
      <w:pPr>
        <w:spacing w:after="120"/>
      </w:pPr>
      <w:r>
        <w:rPr>
          <w:color w:val="595959"/>
          <w:sz w:val="20"/>
        </w:rPr>
        <w:t>Understand the structure of the series before modelling. Tools: matplotlib, seaborn.</w:t>
      </w:r>
    </w:p>
    <w:p>
      <w:pPr>
        <w:pStyle w:val="ListBullet"/>
        <w:spacing w:after="60"/>
      </w:pPr>
      <w:r>
        <w:rPr>
          <w:color w:val="595959"/>
          <w:sz w:val="20"/>
        </w:rPr>
        <w:t>Inflation averaged 2.6% (range: −2.0% to +9.0%). 2022 spike is a clear structural outlier.</w:t>
      </w:r>
    </w:p>
    <w:p>
      <w:pPr>
        <w:pStyle w:val="ListBullet"/>
        <w:spacing w:after="60"/>
      </w:pPr>
      <w:r>
        <w:rPr>
          <w:color w:val="595959"/>
          <w:sz w:val="20"/>
        </w:rPr>
        <w:t>Unemployment averaged 5.7% (range: 3.4% to 14.8%). COVID-19 spike in April 2020 is the dominant event.</w:t>
      </w:r>
    </w:p>
    <w:p>
      <w:pPr>
        <w:pStyle w:val="ListBullet"/>
        <w:spacing w:after="60"/>
      </w:pPr>
      <w:r>
        <w:rPr>
          <w:color w:val="595959"/>
          <w:sz w:val="20"/>
        </w:rPr>
        <w:t>Phillips Curve relationship has broken down post-2000. 2022 shows high inflation with moderate unemployment simultaneously.</w:t>
      </w:r>
    </w:p>
    <w:p>
      <w:pPr>
        <w:pStyle w:val="ListBullet"/>
        <w:spacing w:after="60"/>
      </w:pPr>
      <w:r>
        <w:rPr>
          <w:color w:val="595959"/>
          <w:sz w:val="20"/>
        </w:rPr>
        <w:t>Yield spread (10Y−3M) inverted ahead of both 2008 and 2020 recessions — a valuable leading indicator.</w:t>
      </w:r>
    </w:p>
    <w:p>
      <w:pPr>
        <w:pStyle w:val="ListBullet"/>
        <w:spacing w:after="60"/>
      </w:pPr>
      <w:r>
        <w:rPr>
          <w:color w:val="595959"/>
          <w:sz w:val="20"/>
        </w:rPr>
        <w:t>Oil prices show extreme monthly volatility (−54% to +85%), validating the percentage-change transformation.</w:t>
      </w:r>
    </w:p>
    <w:p/>
    <w:p>
      <w:pPr>
        <w:pStyle w:val="ListBullet"/>
        <w:spacing w:after="60"/>
      </w:pPr>
      <w:r>
        <w:rPr>
          <w:b/>
          <w:color w:val="1F3964"/>
          <w:sz w:val="20"/>
        </w:rPr>
        <w:t xml:space="preserve">Deliverable:  </w:t>
      </w:r>
      <w:r>
        <w:rPr>
          <w:color w:val="595959"/>
          <w:sz w:val="20"/>
        </w:rPr>
        <w:t>Six publication-quality figures saved to figures/</w:t>
      </w:r>
    </w:p>
    <w:p>
      <w:pPr>
        <w:spacing w:before="200" w:after="60"/>
      </w:pPr>
      <w:r>
        <w:rPr>
          <w:b/>
          <w:color w:val="2E75B6"/>
          <w:sz w:val="22"/>
        </w:rPr>
        <w:t>Day 4 — Classical Benchmark Models  ✅  Complete</w:t>
      </w:r>
    </w:p>
    <w:p>
      <w:pPr>
        <w:spacing w:after="120"/>
      </w:pPr>
      <w:r>
        <w:rPr>
          <w:color w:val="595959"/>
          <w:sz w:val="20"/>
        </w:rPr>
        <w:t>Build and backtest Naive, ARIMA, and VAR using the expanding-window framework. Tools: statsmodels.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440"/>
            <w:shd w:val="clear" w:color="auto" w:fill="1F3964"/>
          </w:tcPr>
          <w:p>
            <w:pPr>
              <w:jc w:val="center"/>
            </w:pPr>
            <w:r>
              <w:rPr>
                <w:b/>
                <w:color w:val="FFFFFF"/>
                <w:sz w:val="18"/>
              </w:rPr>
              <w:t>Model</w:t>
            </w:r>
          </w:p>
        </w:tc>
        <w:tc>
          <w:tcPr>
            <w:tcW w:type="dxa" w:w="1368"/>
            <w:shd w:val="clear" w:color="auto" w:fill="1F3964"/>
          </w:tcPr>
          <w:p>
            <w:pPr>
              <w:jc w:val="center"/>
            </w:pPr>
            <w:r>
              <w:rPr>
                <w:b/>
                <w:color w:val="FFFFFF"/>
                <w:sz w:val="18"/>
              </w:rPr>
              <w:t>Inflation h=1</w:t>
            </w:r>
          </w:p>
        </w:tc>
        <w:tc>
          <w:tcPr>
            <w:tcW w:type="dxa" w:w="1368"/>
            <w:shd w:val="clear" w:color="auto" w:fill="1F3964"/>
          </w:tcPr>
          <w:p>
            <w:pPr>
              <w:jc w:val="center"/>
            </w:pPr>
            <w:r>
              <w:rPr>
                <w:b/>
                <w:color w:val="FFFFFF"/>
                <w:sz w:val="18"/>
              </w:rPr>
              <w:t>Inflation h=3</w:t>
            </w:r>
          </w:p>
        </w:tc>
        <w:tc>
          <w:tcPr>
            <w:tcW w:type="dxa" w:w="1368"/>
            <w:shd w:val="clear" w:color="auto" w:fill="1F3964"/>
          </w:tcPr>
          <w:p>
            <w:pPr>
              <w:jc w:val="center"/>
            </w:pPr>
            <w:r>
              <w:rPr>
                <w:b/>
                <w:color w:val="FFFFFF"/>
                <w:sz w:val="18"/>
              </w:rPr>
              <w:t>Inflation h=6</w:t>
            </w:r>
          </w:p>
        </w:tc>
        <w:tc>
          <w:tcPr>
            <w:tcW w:type="dxa" w:w="1368"/>
            <w:shd w:val="clear" w:color="auto" w:fill="1F3964"/>
          </w:tcPr>
          <w:p>
            <w:pPr>
              <w:jc w:val="center"/>
            </w:pPr>
            <w:r>
              <w:rPr>
                <w:b/>
                <w:color w:val="FFFFFF"/>
                <w:sz w:val="18"/>
              </w:rPr>
              <w:t>Unemp. h=1</w:t>
            </w:r>
          </w:p>
        </w:tc>
        <w:tc>
          <w:tcPr>
            <w:tcW w:type="dxa" w:w="1368"/>
            <w:shd w:val="clear" w:color="auto" w:fill="1F3964"/>
          </w:tcPr>
          <w:p>
            <w:pPr>
              <w:jc w:val="center"/>
            </w:pPr>
            <w:r>
              <w:rPr>
                <w:b/>
                <w:color w:val="FFFFFF"/>
                <w:sz w:val="18"/>
              </w:rPr>
              <w:t>Unemp. h=3</w:t>
            </w:r>
          </w:p>
        </w:tc>
        <w:tc>
          <w:tcPr>
            <w:tcW w:type="dxa" w:w="1368"/>
            <w:shd w:val="clear" w:color="auto" w:fill="1F3964"/>
          </w:tcPr>
          <w:p>
            <w:pPr>
              <w:jc w:val="center"/>
            </w:pPr>
            <w:r>
              <w:rPr>
                <w:b/>
                <w:color w:val="FFFFFF"/>
                <w:sz w:val="18"/>
              </w:rPr>
              <w:t>Unemp. h=6</w:t>
            </w:r>
          </w:p>
        </w:tc>
      </w:tr>
      <w:tr>
        <w:tc>
          <w:tcPr>
            <w:tcW w:type="dxa" w:w="1440"/>
            <w:shd w:val="clear" w:color="auto" w:fill="F2F7FC"/>
          </w:tcPr>
          <w:p>
            <w:r>
              <w:rPr>
                <w:b/>
                <w:color w:val="595959"/>
                <w:sz w:val="18"/>
              </w:rPr>
              <w:t>Naive</w:t>
            </w:r>
          </w:p>
        </w:tc>
        <w:tc>
          <w:tcPr>
            <w:tcW w:type="dxa" w:w="1368"/>
            <w:shd w:val="clear" w:color="auto" w:fill="F2F7FC"/>
          </w:tcPr>
          <w:p>
            <w:r>
              <w:rPr>
                <w:color w:val="595959"/>
                <w:sz w:val="18"/>
              </w:rPr>
              <w:t>0.449</w:t>
            </w:r>
          </w:p>
        </w:tc>
        <w:tc>
          <w:tcPr>
            <w:tcW w:type="dxa" w:w="1368"/>
            <w:shd w:val="clear" w:color="auto" w:fill="F2F7FC"/>
          </w:tcPr>
          <w:p>
            <w:r>
              <w:rPr>
                <w:color w:val="595959"/>
                <w:sz w:val="18"/>
              </w:rPr>
              <w:t>0.977</w:t>
            </w:r>
          </w:p>
        </w:tc>
        <w:tc>
          <w:tcPr>
            <w:tcW w:type="dxa" w:w="1368"/>
            <w:shd w:val="clear" w:color="auto" w:fill="F2F7FC"/>
          </w:tcPr>
          <w:p>
            <w:r>
              <w:rPr>
                <w:color w:val="595959"/>
                <w:sz w:val="18"/>
              </w:rPr>
              <w:t>1.435</w:t>
            </w:r>
          </w:p>
        </w:tc>
        <w:tc>
          <w:tcPr>
            <w:tcW w:type="dxa" w:w="1368"/>
            <w:shd w:val="clear" w:color="auto" w:fill="F2F7FC"/>
          </w:tcPr>
          <w:p>
            <w:r>
              <w:rPr>
                <w:color w:val="595959"/>
                <w:sz w:val="18"/>
              </w:rPr>
              <w:t>0.642</w:t>
            </w:r>
          </w:p>
        </w:tc>
        <w:tc>
          <w:tcPr>
            <w:tcW w:type="dxa" w:w="1368"/>
            <w:shd w:val="clear" w:color="auto" w:fill="F2F7FC"/>
          </w:tcPr>
          <w:p>
            <w:r>
              <w:rPr>
                <w:color w:val="595959"/>
                <w:sz w:val="18"/>
              </w:rPr>
              <w:t>1.087</w:t>
            </w:r>
          </w:p>
        </w:tc>
        <w:tc>
          <w:tcPr>
            <w:tcW w:type="dxa" w:w="1368"/>
            <w:shd w:val="clear" w:color="auto" w:fill="F2F7FC"/>
          </w:tcPr>
          <w:p>
            <w:r>
              <w:rPr>
                <w:color w:val="595959"/>
                <w:sz w:val="18"/>
              </w:rPr>
              <w:t>1.400</w:t>
            </w:r>
          </w:p>
        </w:tc>
      </w:tr>
      <w:tr>
        <w:tc>
          <w:tcPr>
            <w:tcW w:type="dxa" w:w="1440"/>
            <w:shd w:val="clear" w:color="auto" w:fill="FFFFFF"/>
          </w:tcPr>
          <w:p>
            <w:r>
              <w:rPr>
                <w:b/>
                <w:color w:val="595959"/>
                <w:sz w:val="18"/>
              </w:rPr>
              <w:t>ARIMA</w:t>
            </w:r>
          </w:p>
        </w:tc>
        <w:tc>
          <w:tcPr>
            <w:tcW w:type="dxa" w:w="1368"/>
            <w:shd w:val="clear" w:color="auto" w:fill="FFFFFF"/>
          </w:tcPr>
          <w:p>
            <w:r>
              <w:rPr>
                <w:color w:val="595959"/>
                <w:sz w:val="18"/>
              </w:rPr>
              <w:t>0.402</w:t>
            </w:r>
          </w:p>
        </w:tc>
        <w:tc>
          <w:tcPr>
            <w:tcW w:type="dxa" w:w="1368"/>
            <w:shd w:val="clear" w:color="auto" w:fill="FFFFFF"/>
          </w:tcPr>
          <w:p>
            <w:r>
              <w:rPr>
                <w:color w:val="595959"/>
                <w:sz w:val="18"/>
              </w:rPr>
              <w:t>0.979</w:t>
            </w:r>
          </w:p>
        </w:tc>
        <w:tc>
          <w:tcPr>
            <w:tcW w:type="dxa" w:w="1368"/>
            <w:shd w:val="clear" w:color="auto" w:fill="FFFFFF"/>
          </w:tcPr>
          <w:p>
            <w:r>
              <w:rPr>
                <w:color w:val="595959"/>
                <w:sz w:val="18"/>
              </w:rPr>
              <w:t>1.460</w:t>
            </w:r>
          </w:p>
        </w:tc>
        <w:tc>
          <w:tcPr>
            <w:tcW w:type="dxa" w:w="1368"/>
            <w:shd w:val="clear" w:color="auto" w:fill="FFFFFF"/>
          </w:tcPr>
          <w:p>
            <w:r>
              <w:rPr>
                <w:color w:val="595959"/>
                <w:sz w:val="18"/>
              </w:rPr>
              <w:t>1.039</w:t>
            </w:r>
          </w:p>
        </w:tc>
        <w:tc>
          <w:tcPr>
            <w:tcW w:type="dxa" w:w="1368"/>
            <w:shd w:val="clear" w:color="auto" w:fill="FFFFFF"/>
          </w:tcPr>
          <w:p>
            <w:r>
              <w:rPr>
                <w:color w:val="595959"/>
                <w:sz w:val="18"/>
              </w:rPr>
              <w:t>2.951</w:t>
            </w:r>
          </w:p>
        </w:tc>
        <w:tc>
          <w:tcPr>
            <w:tcW w:type="dxa" w:w="1368"/>
            <w:shd w:val="clear" w:color="auto" w:fill="FFFFFF"/>
          </w:tcPr>
          <w:p>
            <w:r>
              <w:rPr>
                <w:color w:val="595959"/>
                <w:sz w:val="18"/>
              </w:rPr>
              <w:t>7.003</w:t>
            </w:r>
          </w:p>
        </w:tc>
      </w:tr>
      <w:tr>
        <w:tc>
          <w:tcPr>
            <w:tcW w:type="dxa" w:w="1440"/>
            <w:shd w:val="clear" w:color="auto" w:fill="F2F7FC"/>
          </w:tcPr>
          <w:p>
            <w:r>
              <w:rPr>
                <w:b/>
                <w:color w:val="595959"/>
                <w:sz w:val="18"/>
              </w:rPr>
              <w:t>VAR</w:t>
            </w:r>
          </w:p>
        </w:tc>
        <w:tc>
          <w:tcPr>
            <w:tcW w:type="dxa" w:w="1368"/>
            <w:shd w:val="clear" w:color="auto" w:fill="F2F7FC"/>
          </w:tcPr>
          <w:p>
            <w:r>
              <w:rPr>
                <w:color w:val="595959"/>
                <w:sz w:val="18"/>
              </w:rPr>
              <w:t>0.431</w:t>
            </w:r>
          </w:p>
        </w:tc>
        <w:tc>
          <w:tcPr>
            <w:tcW w:type="dxa" w:w="1368"/>
            <w:shd w:val="clear" w:color="auto" w:fill="F2F7FC"/>
          </w:tcPr>
          <w:p>
            <w:r>
              <w:rPr>
                <w:color w:val="595959"/>
                <w:sz w:val="18"/>
              </w:rPr>
              <w:t>1.127</w:t>
            </w:r>
          </w:p>
        </w:tc>
        <w:tc>
          <w:tcPr>
            <w:tcW w:type="dxa" w:w="1368"/>
            <w:shd w:val="clear" w:color="auto" w:fill="F2F7FC"/>
          </w:tcPr>
          <w:p>
            <w:r>
              <w:rPr>
                <w:color w:val="595959"/>
                <w:sz w:val="18"/>
              </w:rPr>
              <w:t>1.974</w:t>
            </w:r>
          </w:p>
        </w:tc>
        <w:tc>
          <w:tcPr>
            <w:tcW w:type="dxa" w:w="1368"/>
            <w:shd w:val="clear" w:color="auto" w:fill="F2F7FC"/>
          </w:tcPr>
          <w:p>
            <w:r>
              <w:rPr>
                <w:color w:val="595959"/>
                <w:sz w:val="18"/>
              </w:rPr>
              <w:t>0.989</w:t>
            </w:r>
          </w:p>
        </w:tc>
        <w:tc>
          <w:tcPr>
            <w:tcW w:type="dxa" w:w="1368"/>
            <w:shd w:val="clear" w:color="auto" w:fill="F2F7FC"/>
          </w:tcPr>
          <w:p>
            <w:r>
              <w:rPr>
                <w:color w:val="595959"/>
                <w:sz w:val="18"/>
              </w:rPr>
              <w:t>2.729</w:t>
            </w:r>
          </w:p>
        </w:tc>
        <w:tc>
          <w:tcPr>
            <w:tcW w:type="dxa" w:w="1368"/>
            <w:shd w:val="clear" w:color="auto" w:fill="F2F7FC"/>
          </w:tcPr>
          <w:p>
            <w:r>
              <w:rPr>
                <w:color w:val="595959"/>
                <w:sz w:val="18"/>
              </w:rPr>
              <w:t>5.937</w:t>
            </w:r>
          </w:p>
        </w:tc>
      </w:tr>
    </w:tbl>
    <w:p/>
    <w:p>
      <w:pPr>
        <w:spacing w:after="120"/>
      </w:pPr>
      <w:r>
        <w:rPr>
          <w:color w:val="595959"/>
          <w:sz w:val="20"/>
        </w:rPr>
        <w:t>Key finding: ARIMA edges Naive at h=1 for inflation (+10%) but is beaten by Naive at longer horizons. For unemployment, Naive dominates at every horizon. The ARIMA h=6 unemployment RMSE of 7.0 is driven by the COVID-19 shock — ARIMA extrapolated the spike as a persistent trend, producing catastrophic errors.</w:t>
      </w:r>
    </w:p>
    <w:p>
      <w:pPr>
        <w:pStyle w:val="ListBullet"/>
        <w:spacing w:after="60"/>
      </w:pPr>
      <w:r>
        <w:rPr>
          <w:b/>
          <w:color w:val="1F3964"/>
          <w:sz w:val="20"/>
        </w:rPr>
        <w:t xml:space="preserve">Deliverable:  </w:t>
      </w:r>
      <w:r>
        <w:rPr>
          <w:color w:val="595959"/>
          <w:sz w:val="20"/>
        </w:rPr>
        <w:t>results/forecasts_arima_var.csv and results/errors_arima_var.csv</w:t>
      </w:r>
    </w:p>
    <w:p>
      <w:pPr>
        <w:spacing w:before="200" w:after="60"/>
      </w:pPr>
      <w:r>
        <w:rPr>
          <w:b/>
          <w:color w:val="2E75B6"/>
          <w:sz w:val="22"/>
        </w:rPr>
        <w:t>Day 5 — Machine Learning Models  ✅  Complete</w:t>
      </w:r>
    </w:p>
    <w:p>
      <w:pPr>
        <w:spacing w:after="120"/>
      </w:pPr>
      <w:r>
        <w:rPr>
          <w:color w:val="595959"/>
          <w:sz w:val="20"/>
        </w:rPr>
        <w:t>Build and backtest Ridge, Lasso, Random Forest, and XGBoost with 84 lagged macro features. Tools: scikit-learn, xgboost.</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440"/>
            <w:shd w:val="clear" w:color="auto" w:fill="1F3964"/>
          </w:tcPr>
          <w:p>
            <w:pPr>
              <w:jc w:val="center"/>
            </w:pPr>
            <w:r>
              <w:rPr>
                <w:b/>
                <w:color w:val="FFFFFF"/>
                <w:sz w:val="18"/>
              </w:rPr>
              <w:t>Model</w:t>
            </w:r>
          </w:p>
        </w:tc>
        <w:tc>
          <w:tcPr>
            <w:tcW w:type="dxa" w:w="1368"/>
            <w:shd w:val="clear" w:color="auto" w:fill="1F3964"/>
          </w:tcPr>
          <w:p>
            <w:pPr>
              <w:jc w:val="center"/>
            </w:pPr>
            <w:r>
              <w:rPr>
                <w:b/>
                <w:color w:val="FFFFFF"/>
                <w:sz w:val="18"/>
              </w:rPr>
              <w:t>Inflation h=1</w:t>
            </w:r>
          </w:p>
        </w:tc>
        <w:tc>
          <w:tcPr>
            <w:tcW w:type="dxa" w:w="1368"/>
            <w:shd w:val="clear" w:color="auto" w:fill="1F3964"/>
          </w:tcPr>
          <w:p>
            <w:pPr>
              <w:jc w:val="center"/>
            </w:pPr>
            <w:r>
              <w:rPr>
                <w:b/>
                <w:color w:val="FFFFFF"/>
                <w:sz w:val="18"/>
              </w:rPr>
              <w:t>Inflation h=3</w:t>
            </w:r>
          </w:p>
        </w:tc>
        <w:tc>
          <w:tcPr>
            <w:tcW w:type="dxa" w:w="1368"/>
            <w:shd w:val="clear" w:color="auto" w:fill="1F3964"/>
          </w:tcPr>
          <w:p>
            <w:pPr>
              <w:jc w:val="center"/>
            </w:pPr>
            <w:r>
              <w:rPr>
                <w:b/>
                <w:color w:val="FFFFFF"/>
                <w:sz w:val="18"/>
              </w:rPr>
              <w:t>Inflation h=6</w:t>
            </w:r>
          </w:p>
        </w:tc>
        <w:tc>
          <w:tcPr>
            <w:tcW w:type="dxa" w:w="1368"/>
            <w:shd w:val="clear" w:color="auto" w:fill="1F3964"/>
          </w:tcPr>
          <w:p>
            <w:pPr>
              <w:jc w:val="center"/>
            </w:pPr>
            <w:r>
              <w:rPr>
                <w:b/>
                <w:color w:val="FFFFFF"/>
                <w:sz w:val="18"/>
              </w:rPr>
              <w:t>Unemp. h=1</w:t>
            </w:r>
          </w:p>
        </w:tc>
        <w:tc>
          <w:tcPr>
            <w:tcW w:type="dxa" w:w="1368"/>
            <w:shd w:val="clear" w:color="auto" w:fill="1F3964"/>
          </w:tcPr>
          <w:p>
            <w:pPr>
              <w:jc w:val="center"/>
            </w:pPr>
            <w:r>
              <w:rPr>
                <w:b/>
                <w:color w:val="FFFFFF"/>
                <w:sz w:val="18"/>
              </w:rPr>
              <w:t>Unemp. h=3</w:t>
            </w:r>
          </w:p>
        </w:tc>
        <w:tc>
          <w:tcPr>
            <w:tcW w:type="dxa" w:w="1368"/>
            <w:shd w:val="clear" w:color="auto" w:fill="1F3964"/>
          </w:tcPr>
          <w:p>
            <w:pPr>
              <w:jc w:val="center"/>
            </w:pPr>
            <w:r>
              <w:rPr>
                <w:b/>
                <w:color w:val="FFFFFF"/>
                <w:sz w:val="18"/>
              </w:rPr>
              <w:t>Unemp. h=6</w:t>
            </w:r>
          </w:p>
        </w:tc>
      </w:tr>
      <w:tr>
        <w:tc>
          <w:tcPr>
            <w:tcW w:type="dxa" w:w="1440"/>
            <w:shd w:val="clear" w:color="auto" w:fill="F2F7FC"/>
          </w:tcPr>
          <w:p>
            <w:r>
              <w:rPr>
                <w:b/>
                <w:color w:val="595959"/>
                <w:sz w:val="18"/>
              </w:rPr>
              <w:t>Ridge</w:t>
            </w:r>
          </w:p>
        </w:tc>
        <w:tc>
          <w:tcPr>
            <w:tcW w:type="dxa" w:w="1368"/>
            <w:shd w:val="clear" w:color="auto" w:fill="F2F7FC"/>
          </w:tcPr>
          <w:p>
            <w:r>
              <w:rPr>
                <w:color w:val="595959"/>
                <w:sz w:val="18"/>
              </w:rPr>
              <w:t>0.514</w:t>
            </w:r>
          </w:p>
        </w:tc>
        <w:tc>
          <w:tcPr>
            <w:tcW w:type="dxa" w:w="1368"/>
            <w:shd w:val="clear" w:color="auto" w:fill="F2F7FC"/>
          </w:tcPr>
          <w:p>
            <w:r>
              <w:rPr>
                <w:color w:val="595959"/>
                <w:sz w:val="18"/>
              </w:rPr>
              <w:t>1.359</w:t>
            </w:r>
          </w:p>
        </w:tc>
        <w:tc>
          <w:tcPr>
            <w:tcW w:type="dxa" w:w="1368"/>
            <w:shd w:val="clear" w:color="auto" w:fill="F2F7FC"/>
          </w:tcPr>
          <w:p>
            <w:r>
              <w:rPr>
                <w:color w:val="595959"/>
                <w:sz w:val="18"/>
              </w:rPr>
              <w:t>1.545</w:t>
            </w:r>
          </w:p>
        </w:tc>
        <w:tc>
          <w:tcPr>
            <w:tcW w:type="dxa" w:w="1368"/>
            <w:shd w:val="clear" w:color="auto" w:fill="F2F7FC"/>
          </w:tcPr>
          <w:p>
            <w:r>
              <w:rPr>
                <w:color w:val="595959"/>
                <w:sz w:val="18"/>
              </w:rPr>
              <w:t>2.150</w:t>
            </w:r>
          </w:p>
        </w:tc>
        <w:tc>
          <w:tcPr>
            <w:tcW w:type="dxa" w:w="1368"/>
            <w:shd w:val="clear" w:color="auto" w:fill="F2F7FC"/>
          </w:tcPr>
          <w:p>
            <w:r>
              <w:rPr>
                <w:color w:val="595959"/>
                <w:sz w:val="18"/>
              </w:rPr>
              <w:t>2.261</w:t>
            </w:r>
          </w:p>
        </w:tc>
        <w:tc>
          <w:tcPr>
            <w:tcW w:type="dxa" w:w="1368"/>
            <w:shd w:val="clear" w:color="auto" w:fill="F2F7FC"/>
          </w:tcPr>
          <w:p>
            <w:r>
              <w:rPr>
                <w:color w:val="595959"/>
                <w:sz w:val="18"/>
              </w:rPr>
              <w:t>2.615</w:t>
            </w:r>
          </w:p>
        </w:tc>
      </w:tr>
      <w:tr>
        <w:tc>
          <w:tcPr>
            <w:tcW w:type="dxa" w:w="1440"/>
            <w:shd w:val="clear" w:color="auto" w:fill="FFFFFF"/>
          </w:tcPr>
          <w:p>
            <w:r>
              <w:rPr>
                <w:b/>
                <w:color w:val="595959"/>
                <w:sz w:val="18"/>
              </w:rPr>
              <w:t>Lasso</w:t>
            </w:r>
          </w:p>
        </w:tc>
        <w:tc>
          <w:tcPr>
            <w:tcW w:type="dxa" w:w="1368"/>
            <w:shd w:val="clear" w:color="auto" w:fill="FFFFFF"/>
          </w:tcPr>
          <w:p>
            <w:r>
              <w:rPr>
                <w:color w:val="595959"/>
                <w:sz w:val="18"/>
              </w:rPr>
              <w:t>0.229</w:t>
            </w:r>
          </w:p>
        </w:tc>
        <w:tc>
          <w:tcPr>
            <w:tcW w:type="dxa" w:w="1368"/>
            <w:shd w:val="clear" w:color="auto" w:fill="FFFFFF"/>
          </w:tcPr>
          <w:p>
            <w:r>
              <w:rPr>
                <w:color w:val="595959"/>
                <w:sz w:val="18"/>
              </w:rPr>
              <w:t>0.811</w:t>
            </w:r>
          </w:p>
        </w:tc>
        <w:tc>
          <w:tcPr>
            <w:tcW w:type="dxa" w:w="1368"/>
            <w:shd w:val="clear" w:color="auto" w:fill="FFFFFF"/>
          </w:tcPr>
          <w:p>
            <w:r>
              <w:rPr>
                <w:color w:val="595959"/>
                <w:sz w:val="18"/>
              </w:rPr>
              <w:t>1.163</w:t>
            </w:r>
          </w:p>
        </w:tc>
        <w:tc>
          <w:tcPr>
            <w:tcW w:type="dxa" w:w="1368"/>
            <w:shd w:val="clear" w:color="auto" w:fill="FFFFFF"/>
          </w:tcPr>
          <w:p>
            <w:r>
              <w:rPr>
                <w:color w:val="595959"/>
                <w:sz w:val="18"/>
              </w:rPr>
              <w:t>1.902</w:t>
            </w:r>
          </w:p>
        </w:tc>
        <w:tc>
          <w:tcPr>
            <w:tcW w:type="dxa" w:w="1368"/>
            <w:shd w:val="clear" w:color="auto" w:fill="FFFFFF"/>
          </w:tcPr>
          <w:p>
            <w:r>
              <w:rPr>
                <w:color w:val="595959"/>
                <w:sz w:val="18"/>
              </w:rPr>
              <w:t>2.057</w:t>
            </w:r>
          </w:p>
        </w:tc>
        <w:tc>
          <w:tcPr>
            <w:tcW w:type="dxa" w:w="1368"/>
            <w:shd w:val="clear" w:color="auto" w:fill="FFFFFF"/>
          </w:tcPr>
          <w:p>
            <w:r>
              <w:rPr>
                <w:color w:val="595959"/>
                <w:sz w:val="18"/>
              </w:rPr>
              <w:t>2.564</w:t>
            </w:r>
          </w:p>
        </w:tc>
      </w:tr>
      <w:tr>
        <w:tc>
          <w:tcPr>
            <w:tcW w:type="dxa" w:w="1440"/>
            <w:shd w:val="clear" w:color="auto" w:fill="F2F7FC"/>
          </w:tcPr>
          <w:p>
            <w:r>
              <w:rPr>
                <w:b/>
                <w:color w:val="595959"/>
                <w:sz w:val="18"/>
              </w:rPr>
              <w:t>RF</w:t>
            </w:r>
          </w:p>
        </w:tc>
        <w:tc>
          <w:tcPr>
            <w:tcW w:type="dxa" w:w="1368"/>
            <w:shd w:val="clear" w:color="auto" w:fill="F2F7FC"/>
          </w:tcPr>
          <w:p>
            <w:r>
              <w:rPr>
                <w:color w:val="595959"/>
                <w:sz w:val="18"/>
              </w:rPr>
              <w:t>0.421</w:t>
            </w:r>
          </w:p>
        </w:tc>
        <w:tc>
          <w:tcPr>
            <w:tcW w:type="dxa" w:w="1368"/>
            <w:shd w:val="clear" w:color="auto" w:fill="F2F7FC"/>
          </w:tcPr>
          <w:p>
            <w:r>
              <w:rPr>
                <w:color w:val="595959"/>
                <w:sz w:val="18"/>
              </w:rPr>
              <w:t>0.795</w:t>
            </w:r>
          </w:p>
        </w:tc>
        <w:tc>
          <w:tcPr>
            <w:tcW w:type="dxa" w:w="1368"/>
            <w:shd w:val="clear" w:color="auto" w:fill="F2F7FC"/>
          </w:tcPr>
          <w:p>
            <w:r>
              <w:rPr>
                <w:color w:val="595959"/>
                <w:sz w:val="18"/>
              </w:rPr>
              <w:t>1.060</w:t>
            </w:r>
          </w:p>
        </w:tc>
        <w:tc>
          <w:tcPr>
            <w:tcW w:type="dxa" w:w="1368"/>
            <w:shd w:val="clear" w:color="auto" w:fill="F2F7FC"/>
          </w:tcPr>
          <w:p>
            <w:r>
              <w:rPr>
                <w:color w:val="595959"/>
                <w:sz w:val="18"/>
              </w:rPr>
              <w:t>0.448</w:t>
            </w:r>
          </w:p>
        </w:tc>
        <w:tc>
          <w:tcPr>
            <w:tcW w:type="dxa" w:w="1368"/>
            <w:shd w:val="clear" w:color="auto" w:fill="F2F7FC"/>
          </w:tcPr>
          <w:p>
            <w:r>
              <w:rPr>
                <w:color w:val="595959"/>
                <w:sz w:val="18"/>
              </w:rPr>
              <w:t>0.903</w:t>
            </w:r>
          </w:p>
        </w:tc>
        <w:tc>
          <w:tcPr>
            <w:tcW w:type="dxa" w:w="1368"/>
            <w:shd w:val="clear" w:color="auto" w:fill="F2F7FC"/>
          </w:tcPr>
          <w:p>
            <w:r>
              <w:rPr>
                <w:color w:val="595959"/>
                <w:sz w:val="18"/>
              </w:rPr>
              <w:t>1.168</w:t>
            </w:r>
          </w:p>
        </w:tc>
      </w:tr>
      <w:tr>
        <w:tc>
          <w:tcPr>
            <w:tcW w:type="dxa" w:w="1440"/>
            <w:shd w:val="clear" w:color="auto" w:fill="FFFFFF"/>
          </w:tcPr>
          <w:p>
            <w:r>
              <w:rPr>
                <w:b/>
                <w:color w:val="595959"/>
                <w:sz w:val="18"/>
              </w:rPr>
              <w:t>XGBoost</w:t>
            </w:r>
          </w:p>
        </w:tc>
        <w:tc>
          <w:tcPr>
            <w:tcW w:type="dxa" w:w="1368"/>
            <w:shd w:val="clear" w:color="auto" w:fill="FFFFFF"/>
          </w:tcPr>
          <w:p>
            <w:r>
              <w:rPr>
                <w:color w:val="595959"/>
                <w:sz w:val="18"/>
              </w:rPr>
              <w:t>0.356</w:t>
            </w:r>
          </w:p>
        </w:tc>
        <w:tc>
          <w:tcPr>
            <w:tcW w:type="dxa" w:w="1368"/>
            <w:shd w:val="clear" w:color="auto" w:fill="FFFFFF"/>
          </w:tcPr>
          <w:p>
            <w:r>
              <w:rPr>
                <w:color w:val="595959"/>
                <w:sz w:val="18"/>
              </w:rPr>
              <w:t>0.769</w:t>
            </w:r>
          </w:p>
        </w:tc>
        <w:tc>
          <w:tcPr>
            <w:tcW w:type="dxa" w:w="1368"/>
            <w:shd w:val="clear" w:color="auto" w:fill="FFFFFF"/>
          </w:tcPr>
          <w:p>
            <w:r>
              <w:rPr>
                <w:color w:val="595959"/>
                <w:sz w:val="18"/>
              </w:rPr>
              <w:t>0.859</w:t>
            </w:r>
          </w:p>
        </w:tc>
        <w:tc>
          <w:tcPr>
            <w:tcW w:type="dxa" w:w="1368"/>
            <w:shd w:val="clear" w:color="auto" w:fill="FFFFFF"/>
          </w:tcPr>
          <w:p>
            <w:r>
              <w:rPr>
                <w:color w:val="595959"/>
                <w:sz w:val="18"/>
              </w:rPr>
              <w:t>0.296</w:t>
            </w:r>
          </w:p>
        </w:tc>
        <w:tc>
          <w:tcPr>
            <w:tcW w:type="dxa" w:w="1368"/>
            <w:shd w:val="clear" w:color="auto" w:fill="FFFFFF"/>
          </w:tcPr>
          <w:p>
            <w:r>
              <w:rPr>
                <w:color w:val="595959"/>
                <w:sz w:val="18"/>
              </w:rPr>
              <w:t>0.900</w:t>
            </w:r>
          </w:p>
        </w:tc>
        <w:tc>
          <w:tcPr>
            <w:tcW w:type="dxa" w:w="1368"/>
            <w:shd w:val="clear" w:color="auto" w:fill="FFFFFF"/>
          </w:tcPr>
          <w:p>
            <w:r>
              <w:rPr>
                <w:color w:val="595959"/>
                <w:sz w:val="18"/>
              </w:rPr>
              <w:t>0.956</w:t>
            </w:r>
          </w:p>
        </w:tc>
      </w:tr>
    </w:tbl>
    <w:p/>
    <w:p>
      <w:pPr>
        <w:spacing w:after="120"/>
      </w:pPr>
      <w:r>
        <w:rPr>
          <w:color w:val="595959"/>
          <w:sz w:val="20"/>
        </w:rPr>
        <w:t>Key findings: Lasso dominates at h=1 inflation (0.229 vs ARIMA 0.402). XGBoost wins at all other cells. Tree-based models handle the COVID spike far better than linear ML — Ridge and Lasso are worse than Naive for unemployment at every horizon.</w:t>
      </w:r>
    </w:p>
    <w:p>
      <w:pPr>
        <w:pStyle w:val="ListBullet"/>
        <w:spacing w:after="60"/>
      </w:pPr>
      <w:r>
        <w:rPr>
          <w:b/>
          <w:color w:val="1F3964"/>
          <w:sz w:val="20"/>
        </w:rPr>
        <w:t xml:space="preserve">Deliverable:  </w:t>
      </w:r>
      <w:r>
        <w:rPr>
          <w:color w:val="595959"/>
          <w:sz w:val="20"/>
        </w:rPr>
        <w:t>results/forecasts_ml.csv and results/errors_ml.csv</w:t>
      </w:r>
    </w:p>
    <w:p>
      <w:pPr>
        <w:spacing w:before="200" w:after="60"/>
      </w:pPr>
      <w:r>
        <w:rPr>
          <w:b/>
          <w:color w:val="2E75B6"/>
          <w:sz w:val="22"/>
        </w:rPr>
        <w:t>Day 6 — Master Bake-Off Merge  ✅  Complete</w:t>
      </w:r>
    </w:p>
    <w:p>
      <w:pPr>
        <w:spacing w:after="120"/>
      </w:pPr>
      <w:r>
        <w:rPr>
          <w:color w:val="595959"/>
          <w:sz w:val="20"/>
        </w:rPr>
        <w:t>Merge all forecast outputs into a single master table for comparison across all 7 models, 2 targets, and 3 horizons.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872"/>
            <w:shd w:val="clear" w:color="auto" w:fill="1F3964"/>
          </w:tcPr>
          <w:p>
            <w:pPr>
              <w:jc w:val="center"/>
            </w:pPr>
            <w:r>
              <w:rPr>
                <w:b/>
                <w:color w:val="FFFFFF"/>
                <w:sz w:val="18"/>
              </w:rPr>
            </w:r>
          </w:p>
        </w:tc>
        <w:tc>
          <w:tcPr>
            <w:tcW w:type="dxa" w:w="2592"/>
            <w:shd w:val="clear" w:color="auto" w:fill="1F3964"/>
          </w:tcPr>
          <w:p>
            <w:pPr>
              <w:jc w:val="center"/>
            </w:pPr>
            <w:r>
              <w:rPr>
                <w:b/>
                <w:color w:val="FFFFFF"/>
                <w:sz w:val="18"/>
              </w:rPr>
              <w:t>h=1 Winner</w:t>
            </w:r>
          </w:p>
        </w:tc>
        <w:tc>
          <w:tcPr>
            <w:tcW w:type="dxa" w:w="2592"/>
            <w:shd w:val="clear" w:color="auto" w:fill="1F3964"/>
          </w:tcPr>
          <w:p>
            <w:pPr>
              <w:jc w:val="center"/>
            </w:pPr>
            <w:r>
              <w:rPr>
                <w:b/>
                <w:color w:val="FFFFFF"/>
                <w:sz w:val="18"/>
              </w:rPr>
              <w:t>h=3 Winner</w:t>
            </w:r>
          </w:p>
        </w:tc>
        <w:tc>
          <w:tcPr>
            <w:tcW w:type="dxa" w:w="2592"/>
            <w:shd w:val="clear" w:color="auto" w:fill="1F3964"/>
          </w:tcPr>
          <w:p>
            <w:pPr>
              <w:jc w:val="center"/>
            </w:pPr>
            <w:r>
              <w:rPr>
                <w:b/>
                <w:color w:val="FFFFFF"/>
                <w:sz w:val="18"/>
              </w:rPr>
              <w:t>h=6 Winner</w:t>
            </w:r>
          </w:p>
        </w:tc>
      </w:tr>
      <w:tr>
        <w:tc>
          <w:tcPr>
            <w:tcW w:type="dxa" w:w="1872"/>
            <w:shd w:val="clear" w:color="auto" w:fill="F2F7FC"/>
          </w:tcPr>
          <w:p>
            <w:r>
              <w:rPr>
                <w:b/>
                <w:color w:val="595959"/>
                <w:sz w:val="18"/>
              </w:rPr>
              <w:t>Inflation</w:t>
            </w:r>
          </w:p>
        </w:tc>
        <w:tc>
          <w:tcPr>
            <w:tcW w:type="dxa" w:w="2592"/>
            <w:shd w:val="clear" w:color="auto" w:fill="F2F7FC"/>
          </w:tcPr>
          <w:p>
            <w:r>
              <w:rPr>
                <w:color w:val="595959"/>
                <w:sz w:val="18"/>
              </w:rPr>
              <w:t>Lasso (0.229)</w:t>
            </w:r>
          </w:p>
        </w:tc>
        <w:tc>
          <w:tcPr>
            <w:tcW w:type="dxa" w:w="2592"/>
            <w:shd w:val="clear" w:color="auto" w:fill="F2F7FC"/>
          </w:tcPr>
          <w:p>
            <w:r>
              <w:rPr>
                <w:color w:val="595959"/>
                <w:sz w:val="18"/>
              </w:rPr>
              <w:t>XGBoost (0.769)</w:t>
            </w:r>
          </w:p>
        </w:tc>
        <w:tc>
          <w:tcPr>
            <w:tcW w:type="dxa" w:w="2592"/>
            <w:shd w:val="clear" w:color="auto" w:fill="F2F7FC"/>
          </w:tcPr>
          <w:p>
            <w:r>
              <w:rPr>
                <w:color w:val="595959"/>
                <w:sz w:val="18"/>
              </w:rPr>
              <w:t>XGBoost (0.859)</w:t>
            </w:r>
          </w:p>
        </w:tc>
      </w:tr>
      <w:tr>
        <w:tc>
          <w:tcPr>
            <w:tcW w:type="dxa" w:w="1872"/>
            <w:shd w:val="clear" w:color="auto" w:fill="FFFFFF"/>
          </w:tcPr>
          <w:p>
            <w:r>
              <w:rPr>
                <w:b/>
                <w:color w:val="595959"/>
                <w:sz w:val="18"/>
              </w:rPr>
              <w:t>Unemployment</w:t>
            </w:r>
          </w:p>
        </w:tc>
        <w:tc>
          <w:tcPr>
            <w:tcW w:type="dxa" w:w="2592"/>
            <w:shd w:val="clear" w:color="auto" w:fill="FFFFFF"/>
          </w:tcPr>
          <w:p>
            <w:r>
              <w:rPr>
                <w:color w:val="595959"/>
                <w:sz w:val="18"/>
              </w:rPr>
              <w:t>XGBoost (0.296)</w:t>
            </w:r>
          </w:p>
        </w:tc>
        <w:tc>
          <w:tcPr>
            <w:tcW w:type="dxa" w:w="2592"/>
            <w:shd w:val="clear" w:color="auto" w:fill="FFFFFF"/>
          </w:tcPr>
          <w:p>
            <w:r>
              <w:rPr>
                <w:color w:val="595959"/>
                <w:sz w:val="18"/>
              </w:rPr>
              <w:t>XGBoost (0.900)</w:t>
            </w:r>
          </w:p>
        </w:tc>
        <w:tc>
          <w:tcPr>
            <w:tcW w:type="dxa" w:w="2592"/>
            <w:shd w:val="clear" w:color="auto" w:fill="FFFFFF"/>
          </w:tcPr>
          <w:p>
            <w:r>
              <w:rPr>
                <w:color w:val="595959"/>
                <w:sz w:val="18"/>
              </w:rPr>
              <w:t>XGBoost (0.956)</w:t>
            </w:r>
          </w:p>
        </w:tc>
      </w:tr>
    </w:tbl>
    <w:p/>
    <w:p>
      <w:pPr>
        <w:pStyle w:val="ListBullet"/>
        <w:spacing w:after="60"/>
      </w:pPr>
      <w:r>
        <w:rPr>
          <w:b/>
          <w:color w:val="1F3964"/>
          <w:sz w:val="20"/>
        </w:rPr>
        <w:t xml:space="preserve">Deliverable:  </w:t>
      </w:r>
      <w:r>
        <w:rPr>
          <w:color w:val="595959"/>
          <w:sz w:val="20"/>
        </w:rPr>
        <w:t>results/master_forecasts.csv — 1,864 forecast observations</w:t>
      </w:r>
    </w:p>
    <w:p>
      <w:pPr>
        <w:pStyle w:val="ListBullet"/>
        <w:spacing w:after="60"/>
      </w:pPr>
      <w:r>
        <w:rPr>
          <w:color w:val="595959"/>
          <w:sz w:val="20"/>
        </w:rPr>
        <w:t>results/master_errors.csv — RMSE and MAE for all 42 model-target-horizon combinations</w:t>
      </w:r>
    </w:p>
    <w:p>
      <w:pPr>
        <w:spacing w:before="200" w:after="60"/>
      </w:pPr>
      <w:r>
        <w:rPr>
          <w:b/>
          <w:color w:val="2E75B6"/>
          <w:sz w:val="22"/>
        </w:rPr>
        <w:t>Day 7 — Diagnostics &amp; Interpretation  ⬜  Upcoming</w:t>
      </w:r>
    </w:p>
    <w:p>
      <w:pPr>
        <w:spacing w:after="120"/>
      </w:pPr>
      <w:r>
        <w:rPr>
          <w:color w:val="595959"/>
          <w:sz w:val="20"/>
        </w:rPr>
        <w:t>Move beyond 'which model won' and understand why. Outputs from this day feed directly into the dashboard panels.</w:t>
      </w:r>
    </w:p>
    <w:p>
      <w:pPr>
        <w:pStyle w:val="ListBullet"/>
        <w:spacing w:after="60"/>
      </w:pPr>
      <w:r>
        <w:rPr>
          <w:color w:val="595959"/>
          <w:sz w:val="20"/>
        </w:rPr>
        <w:t>Residual plots per model — check for systematic patterns or structural break sensitivity</w:t>
      </w:r>
    </w:p>
    <w:p>
      <w:pPr>
        <w:pStyle w:val="ListBullet"/>
        <w:spacing w:after="60"/>
      </w:pPr>
      <w:r>
        <w:rPr>
          <w:color w:val="595959"/>
          <w:sz w:val="20"/>
        </w:rPr>
        <w:t>Feature importance for Random Forest and XGBoost — which predictors drive each target</w:t>
      </w:r>
    </w:p>
    <w:p>
      <w:pPr>
        <w:pStyle w:val="ListBullet"/>
        <w:spacing w:after="60"/>
      </w:pPr>
      <w:r>
        <w:rPr>
          <w:color w:val="595959"/>
          <w:sz w:val="20"/>
        </w:rPr>
        <w:t>Sub-period RMSE breakdown — pre-2008, 2008–2019, 2020+ — to assess stability across regimes</w:t>
      </w:r>
    </w:p>
    <w:p>
      <w:pPr>
        <w:pStyle w:val="ListBullet"/>
        <w:spacing w:after="60"/>
      </w:pPr>
      <w:r>
        <w:rPr>
          <w:color w:val="595959"/>
          <w:sz w:val="20"/>
        </w:rPr>
        <w:t>All outputs saved as CSVs for dashboard consumption</w:t>
      </w:r>
    </w:p>
    <w:p/>
    <w:p>
      <w:pPr>
        <w:pStyle w:val="ListBullet"/>
        <w:spacing w:after="60"/>
      </w:pPr>
      <w:r>
        <w:rPr>
          <w:b/>
          <w:color w:val="1F3964"/>
          <w:sz w:val="20"/>
        </w:rPr>
        <w:t xml:space="preserve">Deliverable:  </w:t>
      </w:r>
      <w:r>
        <w:rPr>
          <w:color w:val="595959"/>
          <w:sz w:val="20"/>
        </w:rPr>
        <w:t>results/subperiod_errors.csv</w:t>
      </w:r>
    </w:p>
    <w:p>
      <w:pPr>
        <w:pStyle w:val="ListBullet"/>
        <w:spacing w:after="60"/>
      </w:pPr>
      <w:r>
        <w:rPr>
          <w:color w:val="595959"/>
          <w:sz w:val="20"/>
        </w:rPr>
        <w:t>results/feature_importance_rf.csv and results/feature_importance_xgb.csv</w:t>
      </w:r>
    </w:p>
    <w:p>
      <w:pPr>
        <w:pStyle w:val="ListBullet"/>
        <w:spacing w:after="60"/>
      </w:pPr>
      <w:r>
        <w:rPr>
          <w:color w:val="595959"/>
          <w:sz w:val="20"/>
        </w:rPr>
        <w:t>Residual analysis figures (figures/residuals_*.png)</w:t>
      </w:r>
    </w:p>
    <w:p>
      <w:pPr>
        <w:spacing w:before="200" w:after="60"/>
      </w:pPr>
      <w:r>
        <w:rPr>
          <w:b/>
          <w:color w:val="2E75B6"/>
          <w:sz w:val="22"/>
        </w:rPr>
        <w:t>Day 8 — Refinement  ⬜  Upcoming</w:t>
      </w:r>
    </w:p>
    <w:p>
      <w:pPr>
        <w:spacing w:after="120"/>
      </w:pPr>
      <w:r>
        <w:rPr>
          <w:color w:val="595959"/>
          <w:sz w:val="20"/>
        </w:rPr>
        <w:t>Review the diagnostic outputs and tighten the weakest components. Focus on improving the quality of the comparison, not adding new models.</w:t>
      </w:r>
    </w:p>
    <w:p>
      <w:pPr>
        <w:pStyle w:val="ListBullet"/>
        <w:spacing w:after="60"/>
      </w:pPr>
      <w:r>
        <w:rPr>
          <w:color w:val="595959"/>
          <w:sz w:val="20"/>
        </w:rPr>
        <w:t>Tune ARIMA order selection if residuals show systematic patterns</w:t>
      </w:r>
    </w:p>
    <w:p>
      <w:pPr>
        <w:pStyle w:val="ListBullet"/>
        <w:spacing w:after="60"/>
      </w:pPr>
      <w:r>
        <w:rPr>
          <w:color w:val="595959"/>
          <w:sz w:val="20"/>
        </w:rPr>
        <w:t>Tune XGBoost and RF hyperparameters using a held-out validation window</w:t>
      </w:r>
    </w:p>
    <w:p>
      <w:pPr>
        <w:pStyle w:val="ListBullet"/>
        <w:spacing w:after="60"/>
      </w:pPr>
      <w:r>
        <w:rPr>
          <w:color w:val="595959"/>
          <w:sz w:val="20"/>
        </w:rPr>
        <w:t>Review Lasso penalty — confirm it is not over-shrinking at longer horizons</w:t>
      </w:r>
    </w:p>
    <w:p>
      <w:pPr>
        <w:pStyle w:val="ListBullet"/>
        <w:spacing w:after="60"/>
      </w:pPr>
      <w:r>
        <w:rPr>
          <w:color w:val="595959"/>
          <w:sz w:val="20"/>
        </w:rPr>
        <w:t>Assess whether any predictors should be dropped based on feature importance findings</w:t>
      </w:r>
    </w:p>
    <w:p/>
    <w:p>
      <w:pPr>
        <w:pStyle w:val="ListBullet"/>
        <w:spacing w:after="60"/>
      </w:pPr>
      <w:r>
        <w:rPr>
          <w:b/>
          <w:color w:val="1F3964"/>
          <w:sz w:val="20"/>
        </w:rPr>
        <w:t xml:space="preserve">Deliverable:  </w:t>
      </w:r>
      <w:r>
        <w:rPr>
          <w:color w:val="595959"/>
          <w:sz w:val="20"/>
        </w:rPr>
        <w:t>Final confirmed model specifications for all 7 models</w:t>
      </w:r>
    </w:p>
    <w:p>
      <w:pPr>
        <w:spacing w:before="200" w:after="60"/>
      </w:pPr>
      <w:r>
        <w:rPr>
          <w:b/>
          <w:color w:val="2E75B6"/>
          <w:sz w:val="22"/>
        </w:rPr>
        <w:t>Day 9 — Interactive Dashboard  ⬜  Upcoming  [Revised from original plan]</w:t>
      </w:r>
    </w:p>
    <w:p>
      <w:pPr>
        <w:spacing w:after="120"/>
      </w:pPr>
      <w:r>
        <w:rPr>
          <w:color w:val="595959"/>
          <w:sz w:val="20"/>
        </w:rPr>
        <w:t>Build a single self-contained interactive HTML dashboard using Plotly. This replaces the static matplotlib visualisation script originally planned for Day 9. Tools: plotly.</w:t>
      </w:r>
    </w:p>
    <w:tbl>
      <w:tblPr>
        <w:tblStyle w:val="TableGrid"/>
        <w:tblW w:type="auto" w:w="0"/>
        <w:jc w:val="left"/>
        <w:tblLook w:firstColumn="1" w:firstRow="1" w:lastColumn="0" w:lastRow="0" w:noHBand="0" w:noVBand="1" w:val="04A0"/>
      </w:tblPr>
      <w:tblGrid>
        <w:gridCol w:w="3135"/>
        <w:gridCol w:w="3135"/>
        <w:gridCol w:w="3135"/>
      </w:tblGrid>
      <w:tr>
        <w:tc>
          <w:tcPr>
            <w:tcW w:type="dxa" w:w="2736"/>
            <w:shd w:val="clear" w:color="auto" w:fill="1F3964"/>
          </w:tcPr>
          <w:p>
            <w:pPr>
              <w:jc w:val="center"/>
            </w:pPr>
            <w:r>
              <w:rPr>
                <w:b/>
                <w:color w:val="FFFFFF"/>
                <w:sz w:val="18"/>
              </w:rPr>
              <w:t>Dashboard Panel</w:t>
            </w:r>
          </w:p>
        </w:tc>
        <w:tc>
          <w:tcPr>
            <w:tcW w:type="dxa" w:w="2304"/>
            <w:shd w:val="clear" w:color="auto" w:fill="1F3964"/>
          </w:tcPr>
          <w:p>
            <w:pPr>
              <w:jc w:val="center"/>
            </w:pPr>
            <w:r>
              <w:rPr>
                <w:b/>
                <w:color w:val="FFFFFF"/>
                <w:sz w:val="18"/>
              </w:rPr>
              <w:t>Chart Type</w:t>
            </w:r>
          </w:p>
        </w:tc>
        <w:tc>
          <w:tcPr>
            <w:tcW w:type="dxa" w:w="4464"/>
            <w:shd w:val="clear" w:color="auto" w:fill="1F3964"/>
          </w:tcPr>
          <w:p>
            <w:pPr>
              <w:jc w:val="center"/>
            </w:pPr>
            <w:r>
              <w:rPr>
                <w:b/>
                <w:color w:val="FFFFFF"/>
                <w:sz w:val="18"/>
              </w:rPr>
              <w:t>Interactive Controls</w:t>
            </w:r>
          </w:p>
        </w:tc>
      </w:tr>
      <w:tr>
        <w:tc>
          <w:tcPr>
            <w:tcW w:type="dxa" w:w="2736"/>
            <w:shd w:val="clear" w:color="auto" w:fill="F2F7FC"/>
          </w:tcPr>
          <w:p>
            <w:r>
              <w:rPr>
                <w:b/>
                <w:color w:val="595959"/>
                <w:sz w:val="18"/>
              </w:rPr>
              <w:t>Winner scorecard</w:t>
            </w:r>
          </w:p>
        </w:tc>
        <w:tc>
          <w:tcPr>
            <w:tcW w:type="dxa" w:w="2304"/>
            <w:shd w:val="clear" w:color="auto" w:fill="F2F7FC"/>
          </w:tcPr>
          <w:p>
            <w:r>
              <w:rPr>
                <w:color w:val="595959"/>
                <w:sz w:val="18"/>
              </w:rPr>
              <w:t>Summary table</w:t>
            </w:r>
          </w:p>
        </w:tc>
        <w:tc>
          <w:tcPr>
            <w:tcW w:type="dxa" w:w="4464"/>
            <w:shd w:val="clear" w:color="auto" w:fill="F2F7FC"/>
          </w:tcPr>
          <w:p>
            <w:r>
              <w:rPr>
                <w:color w:val="595959"/>
                <w:sz w:val="18"/>
              </w:rPr>
              <w:t>None — fixed overview</w:t>
            </w:r>
          </w:p>
        </w:tc>
      </w:tr>
      <w:tr>
        <w:tc>
          <w:tcPr>
            <w:tcW w:type="dxa" w:w="2736"/>
            <w:shd w:val="clear" w:color="auto" w:fill="FFFFFF"/>
          </w:tcPr>
          <w:p>
            <w:r>
              <w:rPr>
                <w:b/>
                <w:color w:val="595959"/>
                <w:sz w:val="18"/>
              </w:rPr>
              <w:t>RMSE horse race</w:t>
            </w:r>
          </w:p>
        </w:tc>
        <w:tc>
          <w:tcPr>
            <w:tcW w:type="dxa" w:w="2304"/>
            <w:shd w:val="clear" w:color="auto" w:fill="FFFFFF"/>
          </w:tcPr>
          <w:p>
            <w:r>
              <w:rPr>
                <w:color w:val="595959"/>
                <w:sz w:val="18"/>
              </w:rPr>
              <w:t>Bar chart</w:t>
            </w:r>
          </w:p>
        </w:tc>
        <w:tc>
          <w:tcPr>
            <w:tcW w:type="dxa" w:w="4464"/>
            <w:shd w:val="clear" w:color="auto" w:fill="FFFFFF"/>
          </w:tcPr>
          <w:p>
            <w:r>
              <w:rPr>
                <w:color w:val="595959"/>
                <w:sz w:val="18"/>
              </w:rPr>
              <w:t>Target dropdown, horizon dropdown</w:t>
            </w:r>
          </w:p>
        </w:tc>
      </w:tr>
      <w:tr>
        <w:tc>
          <w:tcPr>
            <w:tcW w:type="dxa" w:w="2736"/>
            <w:shd w:val="clear" w:color="auto" w:fill="F2F7FC"/>
          </w:tcPr>
          <w:p>
            <w:r>
              <w:rPr>
                <w:b/>
                <w:color w:val="595959"/>
                <w:sz w:val="18"/>
              </w:rPr>
              <w:t>Actual vs Predicted</w:t>
            </w:r>
          </w:p>
        </w:tc>
        <w:tc>
          <w:tcPr>
            <w:tcW w:type="dxa" w:w="2304"/>
            <w:shd w:val="clear" w:color="auto" w:fill="F2F7FC"/>
          </w:tcPr>
          <w:p>
            <w:r>
              <w:rPr>
                <w:color w:val="595959"/>
                <w:sz w:val="18"/>
              </w:rPr>
              <w:t>Time series</w:t>
            </w:r>
          </w:p>
        </w:tc>
        <w:tc>
          <w:tcPr>
            <w:tcW w:type="dxa" w:w="4464"/>
            <w:shd w:val="clear" w:color="auto" w:fill="F2F7FC"/>
          </w:tcPr>
          <w:p>
            <w:r>
              <w:rPr>
                <w:color w:val="595959"/>
                <w:sz w:val="18"/>
              </w:rPr>
              <w:t>Model toggles, horizon selector, zoom</w:t>
            </w:r>
          </w:p>
        </w:tc>
      </w:tr>
      <w:tr>
        <w:tc>
          <w:tcPr>
            <w:tcW w:type="dxa" w:w="2736"/>
            <w:shd w:val="clear" w:color="auto" w:fill="FFFFFF"/>
          </w:tcPr>
          <w:p>
            <w:r>
              <w:rPr>
                <w:b/>
                <w:color w:val="595959"/>
                <w:sz w:val="18"/>
              </w:rPr>
              <w:t>Sub-period breakdown</w:t>
            </w:r>
          </w:p>
        </w:tc>
        <w:tc>
          <w:tcPr>
            <w:tcW w:type="dxa" w:w="2304"/>
            <w:shd w:val="clear" w:color="auto" w:fill="FFFFFF"/>
          </w:tcPr>
          <w:p>
            <w:r>
              <w:rPr>
                <w:color w:val="595959"/>
                <w:sz w:val="18"/>
              </w:rPr>
              <w:t>Grouped bar chart</w:t>
            </w:r>
          </w:p>
        </w:tc>
        <w:tc>
          <w:tcPr>
            <w:tcW w:type="dxa" w:w="4464"/>
            <w:shd w:val="clear" w:color="auto" w:fill="FFFFFF"/>
          </w:tcPr>
          <w:p>
            <w:r>
              <w:rPr>
                <w:color w:val="595959"/>
                <w:sz w:val="18"/>
              </w:rPr>
              <w:t>Target dropdown, horizon dropdown</w:t>
            </w:r>
          </w:p>
        </w:tc>
      </w:tr>
      <w:tr>
        <w:tc>
          <w:tcPr>
            <w:tcW w:type="dxa" w:w="2736"/>
            <w:shd w:val="clear" w:color="auto" w:fill="F2F7FC"/>
          </w:tcPr>
          <w:p>
            <w:r>
              <w:rPr>
                <w:b/>
                <w:color w:val="595959"/>
                <w:sz w:val="18"/>
              </w:rPr>
              <w:t>Feature importance</w:t>
            </w:r>
          </w:p>
        </w:tc>
        <w:tc>
          <w:tcPr>
            <w:tcW w:type="dxa" w:w="2304"/>
            <w:shd w:val="clear" w:color="auto" w:fill="F2F7FC"/>
          </w:tcPr>
          <w:p>
            <w:r>
              <w:rPr>
                <w:color w:val="595959"/>
                <w:sz w:val="18"/>
              </w:rPr>
              <w:t>Horizontal bar chart</w:t>
            </w:r>
          </w:p>
        </w:tc>
        <w:tc>
          <w:tcPr>
            <w:tcW w:type="dxa" w:w="4464"/>
            <w:shd w:val="clear" w:color="auto" w:fill="F2F7FC"/>
          </w:tcPr>
          <w:p>
            <w:r>
              <w:rPr>
                <w:color w:val="595959"/>
                <w:sz w:val="18"/>
              </w:rPr>
              <w:t>Model selector (RF vs XGBoost), target + horizon dropdowns</w:t>
            </w:r>
          </w:p>
        </w:tc>
      </w:tr>
    </w:tbl>
    <w:p/>
    <w:p>
      <w:pPr>
        <w:pStyle w:val="ListBullet"/>
        <w:spacing w:after="60"/>
      </w:pPr>
      <w:r>
        <w:rPr>
          <w:b/>
          <w:color w:val="1F3964"/>
          <w:sz w:val="20"/>
        </w:rPr>
        <w:t xml:space="preserve">Deliverable:  </w:t>
      </w:r>
      <w:r>
        <w:rPr>
          <w:color w:val="595959"/>
          <w:sz w:val="20"/>
        </w:rPr>
        <w:t>dashboard.html — single file, no server required, fully portable</w:t>
      </w:r>
    </w:p>
    <w:p>
      <w:pPr>
        <w:spacing w:before="200" w:after="60"/>
      </w:pPr>
      <w:r>
        <w:rPr>
          <w:b/>
          <w:color w:val="2E75B6"/>
          <w:sz w:val="22"/>
        </w:rPr>
        <w:t>Day 10 — Final Report  ⬜  Upcoming</w:t>
      </w:r>
    </w:p>
    <w:p>
      <w:pPr>
        <w:spacing w:after="120"/>
      </w:pPr>
      <w:r>
        <w:rPr>
          <w:color w:val="595959"/>
          <w:sz w:val="20"/>
        </w:rPr>
        <w:t>Produce the final written report, update the progress Word document with complete findings, and finalise the project README.</w:t>
      </w:r>
    </w:p>
    <w:p>
      <w:pPr>
        <w:spacing w:after="120"/>
      </w:pPr>
      <w:r>
        <w:rPr>
          <w:color w:val="595959"/>
          <w:sz w:val="20"/>
        </w:rPr>
        <w:t>Report structure:</w:t>
      </w:r>
    </w:p>
    <w:p>
      <w:pPr>
        <w:pStyle w:val="ListBullet"/>
        <w:spacing w:after="60"/>
      </w:pPr>
      <w:r>
        <w:rPr>
          <w:color w:val="595959"/>
          <w:sz w:val="20"/>
        </w:rPr>
        <w:t>Motivation — why forecasting inflation and unemployment matters</w:t>
      </w:r>
    </w:p>
    <w:p>
      <w:pPr>
        <w:pStyle w:val="ListBullet"/>
        <w:spacing w:after="60"/>
      </w:pPr>
      <w:r>
        <w:rPr>
          <w:color w:val="595959"/>
          <w:sz w:val="20"/>
        </w:rPr>
        <w:t>Research question — traditional vs ML methods</w:t>
      </w:r>
    </w:p>
    <w:p>
      <w:pPr>
        <w:pStyle w:val="ListBullet"/>
        <w:spacing w:after="60"/>
      </w:pPr>
      <w:r>
        <w:rPr>
          <w:color w:val="595959"/>
          <w:sz w:val="20"/>
        </w:rPr>
        <w:t>Data — sources, transformations, sample period</w:t>
      </w:r>
    </w:p>
    <w:p>
      <w:pPr>
        <w:pStyle w:val="ListBullet"/>
        <w:spacing w:after="60"/>
      </w:pPr>
      <w:r>
        <w:rPr>
          <w:color w:val="595959"/>
          <w:sz w:val="20"/>
        </w:rPr>
        <w:t>Methods — all 7 models with brief technical descriptions</w:t>
      </w:r>
    </w:p>
    <w:p>
      <w:pPr>
        <w:pStyle w:val="ListBullet"/>
        <w:spacing w:after="60"/>
      </w:pPr>
      <w:r>
        <w:rPr>
          <w:color w:val="595959"/>
          <w:sz w:val="20"/>
        </w:rPr>
        <w:t>Evaluation — expanding-window framework, RMSE, MAE</w:t>
      </w:r>
    </w:p>
    <w:p>
      <w:pPr>
        <w:pStyle w:val="ListBullet"/>
        <w:spacing w:after="60"/>
      </w:pPr>
      <w:r>
        <w:rPr>
          <w:color w:val="595959"/>
          <w:sz w:val="20"/>
        </w:rPr>
        <w:t>Findings — which models won, at which horizons, and why</w:t>
      </w:r>
    </w:p>
    <w:p>
      <w:pPr>
        <w:pStyle w:val="ListBullet"/>
        <w:spacing w:after="60"/>
      </w:pPr>
      <w:r>
        <w:rPr>
          <w:color w:val="595959"/>
          <w:sz w:val="20"/>
        </w:rPr>
        <w:t>Conclusion — does ML add value, or do simpler models remain competitive?</w:t>
      </w:r>
    </w:p>
    <w:p/>
    <w:p>
      <w:pPr>
        <w:pStyle w:val="ListBullet"/>
        <w:spacing w:after="60"/>
      </w:pPr>
      <w:r>
        <w:rPr>
          <w:b/>
          <w:color w:val="1F3964"/>
          <w:sz w:val="20"/>
        </w:rPr>
        <w:t xml:space="preserve">Deliverable:  </w:t>
      </w:r>
      <w:r>
        <w:rPr>
          <w:color w:val="595959"/>
          <w:sz w:val="20"/>
        </w:rPr>
        <w:t>Final Word report (.docx) with complete results and conclusions</w:t>
      </w:r>
    </w:p>
    <w:p>
      <w:pPr>
        <w:pStyle w:val="ListBullet"/>
        <w:spacing w:after="60"/>
      </w:pPr>
      <w:r>
        <w:rPr>
          <w:color w:val="595959"/>
          <w:sz w:val="20"/>
        </w:rPr>
        <w:t>Updated README.md with final findings summary</w:t>
      </w:r>
    </w:p>
    <w:p>
      <w:pPr>
        <w:spacing w:before="360" w:after="80"/>
      </w:pPr>
      <w:r>
        <w:rPr>
          <w:b/>
          <w:color w:val="1F3964"/>
          <w:sz w:val="30"/>
        </w:rPr>
        <w:t>5. Technology Stack</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F3964"/>
          </w:tcPr>
          <w:p>
            <w:pPr>
              <w:jc w:val="center"/>
            </w:pPr>
            <w:r>
              <w:rPr>
                <w:b/>
                <w:color w:val="FFFFFF"/>
                <w:sz w:val="18"/>
              </w:rPr>
              <w:t>Library</w:t>
            </w:r>
          </w:p>
        </w:tc>
        <w:tc>
          <w:tcPr>
            <w:tcW w:type="dxa" w:w="1296"/>
            <w:shd w:val="clear" w:color="auto" w:fill="1F3964"/>
          </w:tcPr>
          <w:p>
            <w:pPr>
              <w:jc w:val="center"/>
            </w:pPr>
            <w:r>
              <w:rPr>
                <w:b/>
                <w:color w:val="FFFFFF"/>
                <w:sz w:val="18"/>
              </w:rPr>
              <w:t>Version</w:t>
            </w:r>
          </w:p>
        </w:tc>
        <w:tc>
          <w:tcPr>
            <w:tcW w:type="dxa" w:w="5904"/>
            <w:shd w:val="clear" w:color="auto" w:fill="1F3964"/>
          </w:tcPr>
          <w:p>
            <w:pPr>
              <w:jc w:val="center"/>
            </w:pPr>
            <w:r>
              <w:rPr>
                <w:b/>
                <w:color w:val="FFFFFF"/>
                <w:sz w:val="18"/>
              </w:rPr>
              <w:t>Purpose</w:t>
            </w:r>
          </w:p>
        </w:tc>
      </w:tr>
      <w:tr>
        <w:tc>
          <w:tcPr>
            <w:tcW w:type="dxa" w:w="2304"/>
            <w:shd w:val="clear" w:color="auto" w:fill="F2F7FC"/>
          </w:tcPr>
          <w:p>
            <w:r>
              <w:rPr>
                <w:b/>
                <w:color w:val="595959"/>
                <w:sz w:val="18"/>
              </w:rPr>
              <w:t>pandas</w:t>
            </w:r>
          </w:p>
        </w:tc>
        <w:tc>
          <w:tcPr>
            <w:tcW w:type="dxa" w:w="1296"/>
            <w:shd w:val="clear" w:color="auto" w:fill="F2F7FC"/>
          </w:tcPr>
          <w:p>
            <w:r>
              <w:rPr>
                <w:color w:val="595959"/>
                <w:sz w:val="18"/>
              </w:rPr>
              <w:t>3.0.2</w:t>
            </w:r>
          </w:p>
        </w:tc>
        <w:tc>
          <w:tcPr>
            <w:tcW w:type="dxa" w:w="5904"/>
            <w:shd w:val="clear" w:color="auto" w:fill="F2F7FC"/>
          </w:tcPr>
          <w:p>
            <w:r>
              <w:rPr>
                <w:color w:val="595959"/>
                <w:sz w:val="18"/>
              </w:rPr>
              <w:t>Data wrangling and time series alignment</w:t>
            </w:r>
          </w:p>
        </w:tc>
      </w:tr>
      <w:tr>
        <w:tc>
          <w:tcPr>
            <w:tcW w:type="dxa" w:w="2304"/>
            <w:shd w:val="clear" w:color="auto" w:fill="FFFFFF"/>
          </w:tcPr>
          <w:p>
            <w:r>
              <w:rPr>
                <w:b/>
                <w:color w:val="595959"/>
                <w:sz w:val="18"/>
              </w:rPr>
              <w:t>numpy</w:t>
            </w:r>
          </w:p>
        </w:tc>
        <w:tc>
          <w:tcPr>
            <w:tcW w:type="dxa" w:w="1296"/>
            <w:shd w:val="clear" w:color="auto" w:fill="FFFFFF"/>
          </w:tcPr>
          <w:p>
            <w:r>
              <w:rPr>
                <w:color w:val="595959"/>
                <w:sz w:val="18"/>
              </w:rPr>
              <w:t>2.4.4</w:t>
            </w:r>
          </w:p>
        </w:tc>
        <w:tc>
          <w:tcPr>
            <w:tcW w:type="dxa" w:w="5904"/>
            <w:shd w:val="clear" w:color="auto" w:fill="FFFFFF"/>
          </w:tcPr>
          <w:p>
            <w:r>
              <w:rPr>
                <w:color w:val="595959"/>
                <w:sz w:val="18"/>
              </w:rPr>
              <w:t>Numerical operations and error metrics</w:t>
            </w:r>
          </w:p>
        </w:tc>
      </w:tr>
      <w:tr>
        <w:tc>
          <w:tcPr>
            <w:tcW w:type="dxa" w:w="2304"/>
            <w:shd w:val="clear" w:color="auto" w:fill="F2F7FC"/>
          </w:tcPr>
          <w:p>
            <w:r>
              <w:rPr>
                <w:b/>
                <w:color w:val="595959"/>
                <w:sz w:val="18"/>
              </w:rPr>
              <w:t>fredapi</w:t>
            </w:r>
          </w:p>
        </w:tc>
        <w:tc>
          <w:tcPr>
            <w:tcW w:type="dxa" w:w="1296"/>
            <w:shd w:val="clear" w:color="auto" w:fill="F2F7FC"/>
          </w:tcPr>
          <w:p>
            <w:r>
              <w:rPr>
                <w:color w:val="595959"/>
                <w:sz w:val="18"/>
              </w:rPr>
              <w:t>0.5.2</w:t>
            </w:r>
          </w:p>
        </w:tc>
        <w:tc>
          <w:tcPr>
            <w:tcW w:type="dxa" w:w="5904"/>
            <w:shd w:val="clear" w:color="auto" w:fill="F2F7FC"/>
          </w:tcPr>
          <w:p>
            <w:r>
              <w:rPr>
                <w:color w:val="595959"/>
                <w:sz w:val="18"/>
              </w:rPr>
              <w:t>FRED API data pull</w:t>
            </w:r>
          </w:p>
        </w:tc>
      </w:tr>
      <w:tr>
        <w:tc>
          <w:tcPr>
            <w:tcW w:type="dxa" w:w="2304"/>
            <w:shd w:val="clear" w:color="auto" w:fill="FFFFFF"/>
          </w:tcPr>
          <w:p>
            <w:r>
              <w:rPr>
                <w:b/>
                <w:color w:val="595959"/>
                <w:sz w:val="18"/>
              </w:rPr>
              <w:t>statsmodels</w:t>
            </w:r>
          </w:p>
        </w:tc>
        <w:tc>
          <w:tcPr>
            <w:tcW w:type="dxa" w:w="1296"/>
            <w:shd w:val="clear" w:color="auto" w:fill="FFFFFF"/>
          </w:tcPr>
          <w:p>
            <w:r>
              <w:rPr>
                <w:color w:val="595959"/>
                <w:sz w:val="18"/>
              </w:rPr>
              <w:t>0.14.6</w:t>
            </w:r>
          </w:p>
        </w:tc>
        <w:tc>
          <w:tcPr>
            <w:tcW w:type="dxa" w:w="5904"/>
            <w:shd w:val="clear" w:color="auto" w:fill="FFFFFF"/>
          </w:tcPr>
          <w:p>
            <w:r>
              <w:rPr>
                <w:color w:val="595959"/>
                <w:sz w:val="18"/>
              </w:rPr>
              <w:t>ARIMA and VAR models</w:t>
            </w:r>
          </w:p>
        </w:tc>
      </w:tr>
      <w:tr>
        <w:tc>
          <w:tcPr>
            <w:tcW w:type="dxa" w:w="2304"/>
            <w:shd w:val="clear" w:color="auto" w:fill="F2F7FC"/>
          </w:tcPr>
          <w:p>
            <w:r>
              <w:rPr>
                <w:b/>
                <w:color w:val="595959"/>
                <w:sz w:val="18"/>
              </w:rPr>
              <w:t>scikit-learn</w:t>
            </w:r>
          </w:p>
        </w:tc>
        <w:tc>
          <w:tcPr>
            <w:tcW w:type="dxa" w:w="1296"/>
            <w:shd w:val="clear" w:color="auto" w:fill="F2F7FC"/>
          </w:tcPr>
          <w:p>
            <w:r>
              <w:rPr>
                <w:color w:val="595959"/>
                <w:sz w:val="18"/>
              </w:rPr>
              <w:t>1.8.0</w:t>
            </w:r>
          </w:p>
        </w:tc>
        <w:tc>
          <w:tcPr>
            <w:tcW w:type="dxa" w:w="5904"/>
            <w:shd w:val="clear" w:color="auto" w:fill="F2F7FC"/>
          </w:tcPr>
          <w:p>
            <w:r>
              <w:rPr>
                <w:color w:val="595959"/>
                <w:sz w:val="18"/>
              </w:rPr>
              <w:t>Ridge, Lasso, Random Forest, pipeline utilities</w:t>
            </w:r>
          </w:p>
        </w:tc>
      </w:tr>
      <w:tr>
        <w:tc>
          <w:tcPr>
            <w:tcW w:type="dxa" w:w="2304"/>
            <w:shd w:val="clear" w:color="auto" w:fill="FFFFFF"/>
          </w:tcPr>
          <w:p>
            <w:r>
              <w:rPr>
                <w:b/>
                <w:color w:val="595959"/>
                <w:sz w:val="18"/>
              </w:rPr>
              <w:t>xgboost</w:t>
            </w:r>
          </w:p>
        </w:tc>
        <w:tc>
          <w:tcPr>
            <w:tcW w:type="dxa" w:w="1296"/>
            <w:shd w:val="clear" w:color="auto" w:fill="FFFFFF"/>
          </w:tcPr>
          <w:p>
            <w:r>
              <w:rPr>
                <w:color w:val="595959"/>
                <w:sz w:val="18"/>
              </w:rPr>
              <w:t>3.2.0</w:t>
            </w:r>
          </w:p>
        </w:tc>
        <w:tc>
          <w:tcPr>
            <w:tcW w:type="dxa" w:w="5904"/>
            <w:shd w:val="clear" w:color="auto" w:fill="FFFFFF"/>
          </w:tcPr>
          <w:p>
            <w:r>
              <w:rPr>
                <w:color w:val="595959"/>
                <w:sz w:val="18"/>
              </w:rPr>
              <w:t>XGBoost gradient boosting</w:t>
            </w:r>
          </w:p>
        </w:tc>
      </w:tr>
      <w:tr>
        <w:tc>
          <w:tcPr>
            <w:tcW w:type="dxa" w:w="2304"/>
            <w:shd w:val="clear" w:color="auto" w:fill="F2F7FC"/>
          </w:tcPr>
          <w:p>
            <w:r>
              <w:rPr>
                <w:b/>
                <w:color w:val="595959"/>
                <w:sz w:val="18"/>
              </w:rPr>
              <w:t>matplotlib</w:t>
            </w:r>
          </w:p>
        </w:tc>
        <w:tc>
          <w:tcPr>
            <w:tcW w:type="dxa" w:w="1296"/>
            <w:shd w:val="clear" w:color="auto" w:fill="F2F7FC"/>
          </w:tcPr>
          <w:p>
            <w:r>
              <w:rPr>
                <w:color w:val="595959"/>
                <w:sz w:val="18"/>
              </w:rPr>
              <w:t>3.10.9</w:t>
            </w:r>
          </w:p>
        </w:tc>
        <w:tc>
          <w:tcPr>
            <w:tcW w:type="dxa" w:w="5904"/>
            <w:shd w:val="clear" w:color="auto" w:fill="F2F7FC"/>
          </w:tcPr>
          <w:p>
            <w:r>
              <w:rPr>
                <w:color w:val="595959"/>
                <w:sz w:val="18"/>
              </w:rPr>
              <w:t>EDA figures (Days 2–3)</w:t>
            </w:r>
          </w:p>
        </w:tc>
      </w:tr>
      <w:tr>
        <w:tc>
          <w:tcPr>
            <w:tcW w:type="dxa" w:w="2304"/>
            <w:shd w:val="clear" w:color="auto" w:fill="FFFFFF"/>
          </w:tcPr>
          <w:p>
            <w:r>
              <w:rPr>
                <w:b/>
                <w:color w:val="595959"/>
                <w:sz w:val="18"/>
              </w:rPr>
              <w:t>seaborn</w:t>
            </w:r>
          </w:p>
        </w:tc>
        <w:tc>
          <w:tcPr>
            <w:tcW w:type="dxa" w:w="1296"/>
            <w:shd w:val="clear" w:color="auto" w:fill="FFFFFF"/>
          </w:tcPr>
          <w:p>
            <w:r>
              <w:rPr>
                <w:color w:val="595959"/>
                <w:sz w:val="18"/>
              </w:rPr>
              <w:t>0.13.2</w:t>
            </w:r>
          </w:p>
        </w:tc>
        <w:tc>
          <w:tcPr>
            <w:tcW w:type="dxa" w:w="5904"/>
            <w:shd w:val="clear" w:color="auto" w:fill="FFFFFF"/>
          </w:tcPr>
          <w:p>
            <w:r>
              <w:rPr>
                <w:color w:val="595959"/>
                <w:sz w:val="18"/>
              </w:rPr>
              <w:t>Correlation heatmaps and styled EDA plots</w:t>
            </w:r>
          </w:p>
        </w:tc>
      </w:tr>
      <w:tr>
        <w:tc>
          <w:tcPr>
            <w:tcW w:type="dxa" w:w="2304"/>
            <w:shd w:val="clear" w:color="auto" w:fill="F2F7FC"/>
          </w:tcPr>
          <w:p>
            <w:r>
              <w:rPr>
                <w:b/>
                <w:color w:val="595959"/>
                <w:sz w:val="18"/>
              </w:rPr>
              <w:t>plotly</w:t>
            </w:r>
          </w:p>
        </w:tc>
        <w:tc>
          <w:tcPr>
            <w:tcW w:type="dxa" w:w="1296"/>
            <w:shd w:val="clear" w:color="auto" w:fill="F2F7FC"/>
          </w:tcPr>
          <w:p>
            <w:r>
              <w:rPr>
                <w:color w:val="595959"/>
                <w:sz w:val="18"/>
              </w:rPr>
              <w:t>TBD</w:t>
            </w:r>
          </w:p>
        </w:tc>
        <w:tc>
          <w:tcPr>
            <w:tcW w:type="dxa" w:w="5904"/>
            <w:shd w:val="clear" w:color="auto" w:fill="F2F7FC"/>
          </w:tcPr>
          <w:p>
            <w:r>
              <w:rPr>
                <w:color w:val="595959"/>
                <w:sz w:val="18"/>
              </w:rPr>
              <w:t>Interactive HTML dashboard (Day 9)</w:t>
            </w:r>
          </w:p>
        </w:tc>
      </w:tr>
      <w:tr>
        <w:tc>
          <w:tcPr>
            <w:tcW w:type="dxa" w:w="2304"/>
            <w:shd w:val="clear" w:color="auto" w:fill="FFFFFF"/>
          </w:tcPr>
          <w:p>
            <w:r>
              <w:rPr>
                <w:b/>
                <w:color w:val="595959"/>
                <w:sz w:val="18"/>
              </w:rPr>
              <w:t>python-docx</w:t>
            </w:r>
          </w:p>
        </w:tc>
        <w:tc>
          <w:tcPr>
            <w:tcW w:type="dxa" w:w="1296"/>
            <w:shd w:val="clear" w:color="auto" w:fill="FFFFFF"/>
          </w:tcPr>
          <w:p>
            <w:r>
              <w:rPr>
                <w:color w:val="595959"/>
                <w:sz w:val="18"/>
              </w:rPr>
              <w:t>1.2.0</w:t>
            </w:r>
          </w:p>
        </w:tc>
        <w:tc>
          <w:tcPr>
            <w:tcW w:type="dxa" w:w="5904"/>
            <w:shd w:val="clear" w:color="auto" w:fill="FFFFFF"/>
          </w:tcPr>
          <w:p>
            <w:r>
              <w:rPr>
                <w:color w:val="595959"/>
                <w:sz w:val="18"/>
              </w:rPr>
              <w:t>Word document generation</w:t>
            </w:r>
          </w:p>
        </w:tc>
      </w:tr>
      <w:tr>
        <w:tc>
          <w:tcPr>
            <w:tcW w:type="dxa" w:w="2304"/>
            <w:shd w:val="clear" w:color="auto" w:fill="F2F7FC"/>
          </w:tcPr>
          <w:p>
            <w:r>
              <w:rPr>
                <w:b/>
                <w:color w:val="595959"/>
                <w:sz w:val="18"/>
              </w:rPr>
              <w:t>python-dotenv</w:t>
            </w:r>
          </w:p>
        </w:tc>
        <w:tc>
          <w:tcPr>
            <w:tcW w:type="dxa" w:w="1296"/>
            <w:shd w:val="clear" w:color="auto" w:fill="F2F7FC"/>
          </w:tcPr>
          <w:p>
            <w:r>
              <w:rPr>
                <w:color w:val="595959"/>
                <w:sz w:val="18"/>
              </w:rPr>
              <w:t>1.2.2</w:t>
            </w:r>
          </w:p>
        </w:tc>
        <w:tc>
          <w:tcPr>
            <w:tcW w:type="dxa" w:w="5904"/>
            <w:shd w:val="clear" w:color="auto" w:fill="F2F7FC"/>
          </w:tcPr>
          <w:p>
            <w:r>
              <w:rPr>
                <w:color w:val="595959"/>
                <w:sz w:val="18"/>
              </w:rPr>
              <w:t>Secure API key management</w:t>
            </w:r>
          </w:p>
        </w:tc>
      </w:tr>
    </w:tbl>
    <w:p>
      <w:pPr>
        <w:spacing w:before="360" w:after="80"/>
      </w:pPr>
      <w:r>
        <w:rPr>
          <w:b/>
          <w:color w:val="1F3964"/>
          <w:sz w:val="30"/>
        </w:rPr>
        <w:t>6. Repository Structure</w:t>
      </w:r>
    </w:p>
    <w:tbl>
      <w:tblPr>
        <w:tblStyle w:val="TableGrid"/>
        <w:tblW w:type="auto" w:w="0"/>
        <w:jc w:val="left"/>
        <w:tblLook w:firstColumn="1" w:firstRow="1" w:lastColumn="0" w:lastRow="0" w:noHBand="0" w:noVBand="1" w:val="04A0"/>
      </w:tblPr>
      <w:tblGrid>
        <w:gridCol w:w="4703"/>
        <w:gridCol w:w="4703"/>
      </w:tblGrid>
      <w:tr>
        <w:tc>
          <w:tcPr>
            <w:tcW w:type="dxa" w:w="4032"/>
            <w:shd w:val="clear" w:color="auto" w:fill="1F3964"/>
          </w:tcPr>
          <w:p>
            <w:pPr>
              <w:jc w:val="center"/>
            </w:pPr>
            <w:r>
              <w:rPr>
                <w:b/>
                <w:color w:val="FFFFFF"/>
                <w:sz w:val="18"/>
              </w:rPr>
              <w:t>Path</w:t>
            </w:r>
          </w:p>
        </w:tc>
        <w:tc>
          <w:tcPr>
            <w:tcW w:type="dxa" w:w="5472"/>
            <w:shd w:val="clear" w:color="auto" w:fill="1F3964"/>
          </w:tcPr>
          <w:p>
            <w:pPr>
              <w:jc w:val="center"/>
            </w:pPr>
            <w:r>
              <w:rPr>
                <w:b/>
                <w:color w:val="FFFFFF"/>
                <w:sz w:val="18"/>
              </w:rPr>
              <w:t>Contents</w:t>
            </w:r>
          </w:p>
        </w:tc>
      </w:tr>
      <w:tr>
        <w:tc>
          <w:tcPr>
            <w:tcW w:type="dxa" w:w="4032"/>
            <w:shd w:val="clear" w:color="auto" w:fill="F2F7FC"/>
          </w:tcPr>
          <w:p>
            <w:r>
              <w:rPr>
                <w:b/>
                <w:color w:val="595959"/>
                <w:sz w:val="18"/>
              </w:rPr>
              <w:t>data/raw/</w:t>
            </w:r>
          </w:p>
        </w:tc>
        <w:tc>
          <w:tcPr>
            <w:tcW w:type="dxa" w:w="5472"/>
            <w:shd w:val="clear" w:color="auto" w:fill="F2F7FC"/>
          </w:tcPr>
          <w:p>
            <w:r>
              <w:rPr>
                <w:color w:val="595959"/>
                <w:sz w:val="18"/>
              </w:rPr>
              <w:t>Raw FRED CSV downloads</w:t>
            </w:r>
          </w:p>
        </w:tc>
      </w:tr>
      <w:tr>
        <w:tc>
          <w:tcPr>
            <w:tcW w:type="dxa" w:w="4032"/>
            <w:shd w:val="clear" w:color="auto" w:fill="FFFFFF"/>
          </w:tcPr>
          <w:p>
            <w:r>
              <w:rPr>
                <w:b/>
                <w:color w:val="595959"/>
                <w:sz w:val="18"/>
              </w:rPr>
              <w:t>data/processed/</w:t>
            </w:r>
          </w:p>
        </w:tc>
        <w:tc>
          <w:tcPr>
            <w:tcW w:type="dxa" w:w="5472"/>
            <w:shd w:val="clear" w:color="auto" w:fill="FFFFFF"/>
          </w:tcPr>
          <w:p>
            <w:r>
              <w:rPr>
                <w:color w:val="595959"/>
                <w:sz w:val="18"/>
              </w:rPr>
              <w:t>Clean merged monthly feature dataset</w:t>
            </w:r>
          </w:p>
        </w:tc>
      </w:tr>
      <w:tr>
        <w:tc>
          <w:tcPr>
            <w:tcW w:type="dxa" w:w="4032"/>
            <w:shd w:val="clear" w:color="auto" w:fill="F2F7FC"/>
          </w:tcPr>
          <w:p>
            <w:r>
              <w:rPr>
                <w:b/>
                <w:color w:val="595959"/>
                <w:sz w:val="18"/>
              </w:rPr>
              <w:t>data/data_dictionary.md</w:t>
            </w:r>
          </w:p>
        </w:tc>
        <w:tc>
          <w:tcPr>
            <w:tcW w:type="dxa" w:w="5472"/>
            <w:shd w:val="clear" w:color="auto" w:fill="F2F7FC"/>
          </w:tcPr>
          <w:p>
            <w:r>
              <w:rPr>
                <w:color w:val="595959"/>
                <w:sz w:val="18"/>
              </w:rPr>
              <w:t>Variable definitions and transformations</w:t>
            </w:r>
          </w:p>
        </w:tc>
      </w:tr>
      <w:tr>
        <w:tc>
          <w:tcPr>
            <w:tcW w:type="dxa" w:w="4032"/>
            <w:shd w:val="clear" w:color="auto" w:fill="FFFFFF"/>
          </w:tcPr>
          <w:p>
            <w:r>
              <w:rPr>
                <w:b/>
                <w:color w:val="595959"/>
                <w:sz w:val="18"/>
              </w:rPr>
              <w:t>src/01_collect_data.py</w:t>
            </w:r>
          </w:p>
        </w:tc>
        <w:tc>
          <w:tcPr>
            <w:tcW w:type="dxa" w:w="5472"/>
            <w:shd w:val="clear" w:color="auto" w:fill="FFFFFF"/>
          </w:tcPr>
          <w:p>
            <w:r>
              <w:rPr>
                <w:color w:val="595959"/>
                <w:sz w:val="18"/>
              </w:rPr>
              <w:t>Day 2: FRED pull and feature engineering</w:t>
            </w:r>
          </w:p>
        </w:tc>
      </w:tr>
      <w:tr>
        <w:tc>
          <w:tcPr>
            <w:tcW w:type="dxa" w:w="4032"/>
            <w:shd w:val="clear" w:color="auto" w:fill="F2F7FC"/>
          </w:tcPr>
          <w:p>
            <w:r>
              <w:rPr>
                <w:b/>
                <w:color w:val="595959"/>
                <w:sz w:val="18"/>
              </w:rPr>
              <w:t>src/02_eda.py</w:t>
            </w:r>
          </w:p>
        </w:tc>
        <w:tc>
          <w:tcPr>
            <w:tcW w:type="dxa" w:w="5472"/>
            <w:shd w:val="clear" w:color="auto" w:fill="F2F7FC"/>
          </w:tcPr>
          <w:p>
            <w:r>
              <w:rPr>
                <w:color w:val="595959"/>
                <w:sz w:val="18"/>
              </w:rPr>
              <w:t>Day 3: Six EDA figures</w:t>
            </w:r>
          </w:p>
        </w:tc>
      </w:tr>
      <w:tr>
        <w:tc>
          <w:tcPr>
            <w:tcW w:type="dxa" w:w="4032"/>
            <w:shd w:val="clear" w:color="auto" w:fill="FFFFFF"/>
          </w:tcPr>
          <w:p>
            <w:r>
              <w:rPr>
                <w:b/>
                <w:color w:val="595959"/>
                <w:sz w:val="18"/>
              </w:rPr>
              <w:t>src/03_arima_var.py</w:t>
            </w:r>
          </w:p>
        </w:tc>
        <w:tc>
          <w:tcPr>
            <w:tcW w:type="dxa" w:w="5472"/>
            <w:shd w:val="clear" w:color="auto" w:fill="FFFFFF"/>
          </w:tcPr>
          <w:p>
            <w:r>
              <w:rPr>
                <w:color w:val="595959"/>
                <w:sz w:val="18"/>
              </w:rPr>
              <w:t>Day 4: ARIMA + VAR expanding-window backtest</w:t>
            </w:r>
          </w:p>
        </w:tc>
      </w:tr>
      <w:tr>
        <w:tc>
          <w:tcPr>
            <w:tcW w:type="dxa" w:w="4032"/>
            <w:shd w:val="clear" w:color="auto" w:fill="F2F7FC"/>
          </w:tcPr>
          <w:p>
            <w:r>
              <w:rPr>
                <w:b/>
                <w:color w:val="595959"/>
                <w:sz w:val="18"/>
              </w:rPr>
              <w:t>src/04_ml_models.py</w:t>
            </w:r>
          </w:p>
        </w:tc>
        <w:tc>
          <w:tcPr>
            <w:tcW w:type="dxa" w:w="5472"/>
            <w:shd w:val="clear" w:color="auto" w:fill="F2F7FC"/>
          </w:tcPr>
          <w:p>
            <w:r>
              <w:rPr>
                <w:color w:val="595959"/>
                <w:sz w:val="18"/>
              </w:rPr>
              <w:t>Day 5: Ridge / Lasso / RF / XGBoost backtest</w:t>
            </w:r>
          </w:p>
        </w:tc>
      </w:tr>
      <w:tr>
        <w:tc>
          <w:tcPr>
            <w:tcW w:type="dxa" w:w="4032"/>
            <w:shd w:val="clear" w:color="auto" w:fill="FFFFFF"/>
          </w:tcPr>
          <w:p>
            <w:r>
              <w:rPr>
                <w:b/>
                <w:color w:val="595959"/>
                <w:sz w:val="18"/>
              </w:rPr>
              <w:t>src/05_backtesting.py</w:t>
            </w:r>
          </w:p>
        </w:tc>
        <w:tc>
          <w:tcPr>
            <w:tcW w:type="dxa" w:w="5472"/>
            <w:shd w:val="clear" w:color="auto" w:fill="FFFFFF"/>
          </w:tcPr>
          <w:p>
            <w:r>
              <w:rPr>
                <w:color w:val="595959"/>
                <w:sz w:val="18"/>
              </w:rPr>
              <w:t>Day 6: Master error table merge</w:t>
            </w:r>
          </w:p>
        </w:tc>
      </w:tr>
      <w:tr>
        <w:tc>
          <w:tcPr>
            <w:tcW w:type="dxa" w:w="4032"/>
            <w:shd w:val="clear" w:color="auto" w:fill="F2F7FC"/>
          </w:tcPr>
          <w:p>
            <w:r>
              <w:rPr>
                <w:b/>
                <w:color w:val="595959"/>
                <w:sz w:val="18"/>
              </w:rPr>
              <w:t>src/06_diagnostics.py</w:t>
            </w:r>
          </w:p>
        </w:tc>
        <w:tc>
          <w:tcPr>
            <w:tcW w:type="dxa" w:w="5472"/>
            <w:shd w:val="clear" w:color="auto" w:fill="F2F7FC"/>
          </w:tcPr>
          <w:p>
            <w:r>
              <w:rPr>
                <w:color w:val="595959"/>
                <w:sz w:val="18"/>
              </w:rPr>
              <w:t>Day 7: Residuals, feature importance, sub-period</w:t>
            </w:r>
          </w:p>
        </w:tc>
      </w:tr>
      <w:tr>
        <w:tc>
          <w:tcPr>
            <w:tcW w:type="dxa" w:w="4032"/>
            <w:shd w:val="clear" w:color="auto" w:fill="FFFFFF"/>
          </w:tcPr>
          <w:p>
            <w:r>
              <w:rPr>
                <w:b/>
                <w:color w:val="595959"/>
                <w:sz w:val="18"/>
              </w:rPr>
              <w:t>src/07_dashboard.py</w:t>
            </w:r>
          </w:p>
        </w:tc>
        <w:tc>
          <w:tcPr>
            <w:tcW w:type="dxa" w:w="5472"/>
            <w:shd w:val="clear" w:color="auto" w:fill="FFFFFF"/>
          </w:tcPr>
          <w:p>
            <w:r>
              <w:rPr>
                <w:color w:val="595959"/>
                <w:sz w:val="18"/>
              </w:rPr>
              <w:t>Day 9: Plotly interactive HTML dashboard</w:t>
            </w:r>
          </w:p>
        </w:tc>
      </w:tr>
      <w:tr>
        <w:tc>
          <w:tcPr>
            <w:tcW w:type="dxa" w:w="4032"/>
            <w:shd w:val="clear" w:color="auto" w:fill="F2F7FC"/>
          </w:tcPr>
          <w:p>
            <w:r>
              <w:rPr>
                <w:b/>
                <w:color w:val="595959"/>
                <w:sz w:val="18"/>
              </w:rPr>
              <w:t>results/</w:t>
            </w:r>
          </w:p>
        </w:tc>
        <w:tc>
          <w:tcPr>
            <w:tcW w:type="dxa" w:w="5472"/>
            <w:shd w:val="clear" w:color="auto" w:fill="F2F7FC"/>
          </w:tcPr>
          <w:p>
            <w:r>
              <w:rPr>
                <w:color w:val="595959"/>
                <w:sz w:val="18"/>
              </w:rPr>
              <w:t>Forecast CSVs and error tables</w:t>
            </w:r>
          </w:p>
        </w:tc>
      </w:tr>
      <w:tr>
        <w:tc>
          <w:tcPr>
            <w:tcW w:type="dxa" w:w="4032"/>
            <w:shd w:val="clear" w:color="auto" w:fill="FFFFFF"/>
          </w:tcPr>
          <w:p>
            <w:r>
              <w:rPr>
                <w:b/>
                <w:color w:val="595959"/>
                <w:sz w:val="18"/>
              </w:rPr>
              <w:t>figures/</w:t>
            </w:r>
          </w:p>
        </w:tc>
        <w:tc>
          <w:tcPr>
            <w:tcW w:type="dxa" w:w="5472"/>
            <w:shd w:val="clear" w:color="auto" w:fill="FFFFFF"/>
          </w:tcPr>
          <w:p>
            <w:r>
              <w:rPr>
                <w:color w:val="595959"/>
                <w:sz w:val="18"/>
              </w:rPr>
              <w:t>EDA and diagnostic plots</w:t>
            </w:r>
          </w:p>
        </w:tc>
      </w:tr>
      <w:tr>
        <w:tc>
          <w:tcPr>
            <w:tcW w:type="dxa" w:w="4032"/>
            <w:shd w:val="clear" w:color="auto" w:fill="F2F7FC"/>
          </w:tcPr>
          <w:p>
            <w:r>
              <w:rPr>
                <w:b/>
                <w:color w:val="595959"/>
                <w:sz w:val="18"/>
              </w:rPr>
              <w:t>Debriefs/</w:t>
            </w:r>
          </w:p>
        </w:tc>
        <w:tc>
          <w:tcPr>
            <w:tcW w:type="dxa" w:w="5472"/>
            <w:shd w:val="clear" w:color="auto" w:fill="F2F7FC"/>
          </w:tcPr>
          <w:p>
            <w:r>
              <w:rPr>
                <w:color w:val="595959"/>
                <w:sz w:val="18"/>
              </w:rPr>
              <w:t>Word documents — progress reports and project plan</w:t>
            </w:r>
          </w:p>
        </w:tc>
      </w:tr>
      <w:tr>
        <w:tc>
          <w:tcPr>
            <w:tcW w:type="dxa" w:w="4032"/>
            <w:shd w:val="clear" w:color="auto" w:fill="FFFFFF"/>
          </w:tcPr>
          <w:p>
            <w:r>
              <w:rPr>
                <w:b/>
                <w:color w:val="595959"/>
                <w:sz w:val="18"/>
              </w:rPr>
              <w:t>.env</w:t>
            </w:r>
          </w:p>
        </w:tc>
        <w:tc>
          <w:tcPr>
            <w:tcW w:type="dxa" w:w="5472"/>
            <w:shd w:val="clear" w:color="auto" w:fill="FFFFFF"/>
          </w:tcPr>
          <w:p>
            <w:r>
              <w:rPr>
                <w:color w:val="595959"/>
                <w:sz w:val="18"/>
              </w:rPr>
              <w:t>FRED API key (not committed to version control)</w:t>
            </w:r>
          </w:p>
        </w:tc>
      </w:tr>
      <w:tr>
        <w:tc>
          <w:tcPr>
            <w:tcW w:type="dxa" w:w="4032"/>
            <w:shd w:val="clear" w:color="auto" w:fill="F2F7FC"/>
          </w:tcPr>
          <w:p>
            <w:r>
              <w:rPr>
                <w:b/>
                <w:color w:val="595959"/>
                <w:sz w:val="18"/>
              </w:rPr>
              <w:t>requirements.txt</w:t>
            </w:r>
          </w:p>
        </w:tc>
        <w:tc>
          <w:tcPr>
            <w:tcW w:type="dxa" w:w="5472"/>
            <w:shd w:val="clear" w:color="auto" w:fill="F2F7FC"/>
          </w:tcPr>
          <w:p>
            <w:r>
              <w:rPr>
                <w:color w:val="595959"/>
                <w:sz w:val="18"/>
              </w:rPr>
              <w:t>Full dependency list</w:t>
            </w:r>
          </w:p>
        </w:tc>
      </w:tr>
      <w:tr>
        <w:tc>
          <w:tcPr>
            <w:tcW w:type="dxa" w:w="4032"/>
            <w:shd w:val="clear" w:color="auto" w:fill="FFFFFF"/>
          </w:tcPr>
          <w:p>
            <w:r>
              <w:rPr>
                <w:b/>
                <w:color w:val="595959"/>
                <w:sz w:val="18"/>
              </w:rPr>
              <w:t>README.md</w:t>
            </w:r>
          </w:p>
        </w:tc>
        <w:tc>
          <w:tcPr>
            <w:tcW w:type="dxa" w:w="5472"/>
            <w:shd w:val="clear" w:color="auto" w:fill="FFFFFF"/>
          </w:tcPr>
          <w:p>
            <w:r>
              <w:rPr>
                <w:color w:val="595959"/>
                <w:sz w:val="18"/>
              </w:rPr>
              <w:t>Project overview and run instructions</w:t>
            </w:r>
          </w:p>
        </w:tc>
      </w:tr>
    </w:tbl>
    <w:p/>
    <w:p>
      <w:pPr>
        <w:jc w:val="center"/>
      </w:pPr>
      <w:r>
        <w:rPr>
          <w:i/>
          <w:color w:val="999999"/>
          <w:sz w:val="18"/>
        </w:rPr>
        <w:t>All code, data, and outputs are reproducible from a single FRED API key with no manual data entry.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