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4"/>
        </w:rPr>
        <w:t>Inflation &amp; Unemployment Forecasting Bake-Off</w:t>
      </w:r>
    </w:p>
    <w:p>
      <w:pPr>
        <w:jc w:val="center"/>
      </w:pPr>
      <w:r>
        <w:rPr>
          <w:color w:val="2E75B6"/>
          <w:sz w:val="22"/>
        </w:rPr>
        <w:t>Plain-English Status Debrief  |  End of Day 9  |  May 2026</w:t>
      </w:r>
    </w:p>
    <w:p/>
    <w:p>
      <w:pPr>
        <w:spacing w:before="360" w:after="80"/>
      </w:pPr>
      <w:r>
        <w:rPr>
          <w:b/>
          <w:color w:val="1F3964"/>
          <w:sz w:val="30"/>
        </w:rPr>
        <w:t>1. What Is This Project?</w:t>
      </w:r>
    </w:p>
    <w:p>
      <w:pPr>
        <w:spacing w:after="120"/>
      </w:pPr>
      <w:r>
        <w:rPr>
          <w:color w:val="595959"/>
          <w:sz w:val="20"/>
        </w:rPr>
        <w:t>Think of this project as a forecasting competition — a "bake-off" — where we pit two different families of prediction tools against each other to see which one does a better job of forecasting two important economic numbers:</w:t>
      </w:r>
    </w:p>
    <w:p>
      <w:pPr>
        <w:pStyle w:val="ListBullet"/>
        <w:spacing w:after="60"/>
      </w:pPr>
      <w:r>
        <w:rPr>
          <w:color w:val="595959"/>
          <w:sz w:val="20"/>
        </w:rPr>
        <w:t>Inflation — how fast prices are rising in the economy (measured as a percentage)</w:t>
      </w:r>
    </w:p>
    <w:p>
      <w:pPr>
        <w:pStyle w:val="ListBullet"/>
        <w:spacing w:after="60"/>
      </w:pPr>
      <w:r>
        <w:rPr>
          <w:color w:val="595959"/>
          <w:sz w:val="20"/>
        </w:rPr>
        <w:t>Unemployment — what percentage of people who want a job cannot find one</w:t>
      </w:r>
    </w:p>
    <w:p>
      <w:pPr>
        <w:spacing w:after="120"/>
      </w:pPr>
      <w:r>
        <w:rPr>
          <w:color w:val="595959"/>
          <w:sz w:val="20"/>
        </w:rPr>
        <w:t>These two numbers matter enormously. The Federal Reserve (America's central bank) watches them closely to decide whether to raise or lower interest rates. Businesses use them for hiring and pricing decisions. Investors use them to decide where to put their money.</w:t>
      </w:r>
    </w:p>
    <w:p>
      <w:pPr>
        <w:spacing w:after="120"/>
      </w:pPr>
      <w:r>
        <w:rPr>
          <w:color w:val="595959"/>
          <w:sz w:val="20"/>
        </w:rPr>
        <w:t>The competition is between:</w:t>
      </w:r>
    </w:p>
    <w:p>
      <w:pPr>
        <w:pStyle w:val="ListBullet"/>
        <w:spacing w:after="60"/>
      </w:pPr>
      <w:r>
        <w:rPr>
          <w:b/>
          <w:color w:val="1F3964"/>
          <w:sz w:val="20"/>
        </w:rPr>
        <w:t xml:space="preserve">Old-school tools:  </w:t>
      </w:r>
      <w:r>
        <w:rPr>
          <w:color w:val="595959"/>
          <w:sz w:val="20"/>
        </w:rPr>
        <w:t>Traditional models — mathematical formulas that economists have used for decades, built on the idea that the past behaviour of a series can predict its future</w:t>
      </w:r>
    </w:p>
    <w:p>
      <w:pPr>
        <w:pStyle w:val="ListBullet"/>
        <w:spacing w:after="60"/>
      </w:pPr>
      <w:r>
        <w:rPr>
          <w:b/>
          <w:color w:val="1F3964"/>
          <w:sz w:val="20"/>
        </w:rPr>
        <w:t xml:space="preserve">Modern tools:  </w:t>
      </w:r>
      <w:r>
        <w:rPr>
          <w:color w:val="595959"/>
          <w:sz w:val="20"/>
        </w:rPr>
        <w:t>Machine learning models — newer computer-driven approaches that can sift through dozens of economic variables at once and detect patterns that simpler models miss</w:t>
      </w:r>
    </w:p>
    <w:p>
      <w:pPr>
        <w:spacing w:before="120" w:after="120"/>
        <w:ind w:left="576" w:right="576"/>
      </w:pPr>
      <w:r>
        <w:rPr>
          <w:i/>
          <w:color w:val="2E75B6"/>
          <w:sz w:val="21"/>
        </w:rPr>
        <w:t>The central question: Does the added complexity of machine learning actually make forecasts better — or do the tried-and-tested traditional tools hold their own?</w:t>
      </w:r>
    </w:p>
    <w:p>
      <w:pPr>
        <w:spacing w:before="360" w:after="80"/>
      </w:pPr>
      <w:r>
        <w:rPr>
          <w:b/>
          <w:color w:val="1F3964"/>
          <w:sz w:val="30"/>
        </w:rPr>
        <w:t>2. How We Tested the Models — The "No Cheating" Rule</w:t>
      </w:r>
    </w:p>
    <w:p>
      <w:pPr>
        <w:spacing w:after="120"/>
      </w:pPr>
      <w:r>
        <w:rPr>
          <w:color w:val="595959"/>
          <w:sz w:val="20"/>
        </w:rPr>
        <w:t>The most important rule in any forecasting test is that no model is allowed to "see the future." This sounds obvious, but it is easy to accidentally break this rule when building a model.</w:t>
      </w:r>
    </w:p>
    <w:p>
      <w:pPr>
        <w:spacing w:after="120"/>
      </w:pPr>
      <w:r>
        <w:rPr>
          <w:color w:val="595959"/>
          <w:sz w:val="20"/>
        </w:rPr>
        <w:t>We enforced this with a method called expanding-window backtesting. Here is how it works in plain English:</w:t>
      </w:r>
    </w:p>
    <w:p>
      <w:pPr>
        <w:pStyle w:val="ListBullet"/>
        <w:spacing w:after="60"/>
      </w:pPr>
      <w:r>
        <w:rPr>
          <w:color w:val="595959"/>
          <w:sz w:val="20"/>
        </w:rPr>
        <w:t>Imagine you are standing in January 2000. You train each model using only data from before that date — everything from 1990 to 1999.</w:t>
      </w:r>
    </w:p>
    <w:p>
      <w:pPr>
        <w:pStyle w:val="ListBullet"/>
        <w:spacing w:after="60"/>
      </w:pPr>
      <w:r>
        <w:rPr>
          <w:color w:val="595959"/>
          <w:sz w:val="20"/>
        </w:rPr>
        <w:t>You ask each model: "What will inflation be in 1 month? In 3 months? In 6 months?"</w:t>
      </w:r>
    </w:p>
    <w:p>
      <w:pPr>
        <w:pStyle w:val="ListBullet"/>
        <w:spacing w:after="60"/>
      </w:pPr>
      <w:r>
        <w:rPr>
          <w:color w:val="595959"/>
          <w:sz w:val="20"/>
        </w:rPr>
        <w:t>You record those forecasts, then check them against what actually happened.</w:t>
      </w:r>
    </w:p>
    <w:p>
      <w:pPr>
        <w:pStyle w:val="ListBullet"/>
        <w:spacing w:after="60"/>
      </w:pPr>
      <w:r>
        <w:rPr>
          <w:color w:val="595959"/>
          <w:sz w:val="20"/>
        </w:rPr>
        <w:t>You then move to February 2000, add one month of real data to the training set, and repeat.</w:t>
      </w:r>
    </w:p>
    <w:p>
      <w:pPr>
        <w:pStyle w:val="ListBullet"/>
        <w:spacing w:after="60"/>
      </w:pPr>
      <w:r>
        <w:rPr>
          <w:color w:val="595959"/>
          <w:sz w:val="20"/>
        </w:rPr>
        <w:t>This process runs all the way from January 2000 to February 2026 — over 300 rounds of testing.</w:t>
      </w:r>
    </w:p>
    <w:p>
      <w:pPr>
        <w:spacing w:after="120"/>
      </w:pPr>
      <w:r>
        <w:rPr>
          <w:color w:val="595959"/>
          <w:sz w:val="20"/>
        </w:rPr>
        <w:t>This gives us a genuine, fair comparison. Every model is tested on data it has never seen. The model that produces the smallest forecast errors — measured across all 300+ rounds — wins.</w:t>
      </w:r>
    </w:p>
    <w:p>
      <w:pPr>
        <w:spacing w:before="200" w:after="60"/>
      </w:pPr>
      <w:r>
        <w:rPr>
          <w:b/>
          <w:color w:val="2E75B6"/>
          <w:sz w:val="22"/>
        </w:rPr>
        <w:t>How We Measure Errors</w:t>
      </w:r>
    </w:p>
    <w:p>
      <w:pPr>
        <w:spacing w:after="120"/>
      </w:pPr>
      <w:r>
        <w:rPr>
          <w:color w:val="595959"/>
          <w:sz w:val="20"/>
        </w:rPr>
        <w:t>We use a measure called RMSE (Root Mean Squared Error). You do not need to know the formula. Just think of it this way: a lower RMSE means the model's forecasts were closer to the truth, on average. Larger errors are penalised more heavily than small ones — so getting it badly wrong once hurts more than being slightly off many times.</w:t>
      </w:r>
    </w:p>
    <w:p>
      <w:pPr>
        <w:spacing w:before="360" w:after="80"/>
      </w:pPr>
      <w:r>
        <w:rPr>
          <w:b/>
          <w:color w:val="1F3964"/>
          <w:sz w:val="30"/>
        </w:rPr>
        <w:t>3. The Seven Models in the Competition</w:t>
      </w:r>
    </w:p>
    <w:tbl>
      <w:tblPr>
        <w:tblStyle w:val="TableGrid"/>
        <w:tblW w:type="auto" w:w="0"/>
        <w:jc w:val="left"/>
        <w:tblLook w:firstColumn="1" w:firstRow="1" w:lastColumn="0" w:lastRow="0" w:noHBand="0" w:noVBand="1" w:val="04A0"/>
      </w:tblPr>
      <w:tblGrid>
        <w:gridCol w:w="4703"/>
        <w:gridCol w:w="4703"/>
      </w:tblGrid>
      <w:tr>
        <w:tc>
          <w:tcPr>
            <w:tcW w:type="dxa" w:w="2016"/>
            <w:shd w:val="clear" w:color="auto" w:fill="1F3964"/>
          </w:tcPr>
          <w:p>
            <w:pPr>
              <w:jc w:val="center"/>
            </w:pPr>
            <w:r>
              <w:rPr>
                <w:b/>
                <w:color w:val="FFFFFF"/>
                <w:sz w:val="18"/>
              </w:rPr>
              <w:t>Model</w:t>
            </w:r>
          </w:p>
        </w:tc>
        <w:tc>
          <w:tcPr>
            <w:tcW w:type="dxa" w:w="7488"/>
            <w:shd w:val="clear" w:color="auto" w:fill="1F3964"/>
          </w:tcPr>
          <w:p>
            <w:pPr>
              <w:jc w:val="center"/>
            </w:pPr>
            <w:r>
              <w:rPr>
                <w:b/>
                <w:color w:val="FFFFFF"/>
                <w:sz w:val="18"/>
              </w:rPr>
              <w:t>Plain-English Description</w:t>
            </w:r>
          </w:p>
        </w:tc>
      </w:tr>
      <w:tr>
        <w:tc>
          <w:tcPr>
            <w:tcW w:type="dxa" w:w="2016"/>
            <w:shd w:val="clear" w:color="auto" w:fill="F2F7FC"/>
          </w:tcPr>
          <w:p>
            <w:r>
              <w:rPr>
                <w:b/>
                <w:color w:val="595959"/>
                <w:sz w:val="18"/>
              </w:rPr>
              <w:t>Naive</w:t>
            </w:r>
          </w:p>
        </w:tc>
        <w:tc>
          <w:tcPr>
            <w:tcW w:type="dxa" w:w="7488"/>
            <w:shd w:val="clear" w:color="auto" w:fill="F2F7FC"/>
          </w:tcPr>
          <w:p>
            <w:r>
              <w:rPr>
                <w:color w:val="595959"/>
                <w:sz w:val="18"/>
              </w:rPr>
              <w:t>Predicts that next month will look exactly like this month. No maths, no learning — just copy-paste the last number. Surprisingly hard to beat.</w:t>
            </w:r>
          </w:p>
        </w:tc>
      </w:tr>
      <w:tr>
        <w:tc>
          <w:tcPr>
            <w:tcW w:type="dxa" w:w="2016"/>
            <w:shd w:val="clear" w:color="auto" w:fill="FFFFFF"/>
          </w:tcPr>
          <w:p>
            <w:r>
              <w:rPr>
                <w:b/>
                <w:color w:val="595959"/>
                <w:sz w:val="18"/>
              </w:rPr>
              <w:t>ARIMA</w:t>
            </w:r>
          </w:p>
        </w:tc>
        <w:tc>
          <w:tcPr>
            <w:tcW w:type="dxa" w:w="7488"/>
            <w:shd w:val="clear" w:color="auto" w:fill="FFFFFF"/>
          </w:tcPr>
          <w:p>
            <w:r>
              <w:rPr>
                <w:color w:val="595959"/>
                <w:sz w:val="18"/>
              </w:rPr>
              <w:t>Looks at the history of a single series (e.g. inflation) and finds repeating patterns in it. Like a weather forecaster who only looks at yesterday's weather.</w:t>
            </w:r>
          </w:p>
        </w:tc>
      </w:tr>
      <w:tr>
        <w:tc>
          <w:tcPr>
            <w:tcW w:type="dxa" w:w="2016"/>
            <w:shd w:val="clear" w:color="auto" w:fill="F2F7FC"/>
          </w:tcPr>
          <w:p>
            <w:r>
              <w:rPr>
                <w:b/>
                <w:color w:val="595959"/>
                <w:sz w:val="18"/>
              </w:rPr>
              <w:t>VAR</w:t>
            </w:r>
          </w:p>
        </w:tc>
        <w:tc>
          <w:tcPr>
            <w:tcW w:type="dxa" w:w="7488"/>
            <w:shd w:val="clear" w:color="auto" w:fill="F2F7FC"/>
          </w:tcPr>
          <w:p>
            <w:r>
              <w:rPr>
                <w:color w:val="595959"/>
                <w:sz w:val="18"/>
              </w:rPr>
              <w:t>Same as ARIMA but looks at inflation and unemployment together — because they influence each other. Like a weather forecaster who also checks the wind.</w:t>
            </w:r>
          </w:p>
        </w:tc>
      </w:tr>
      <w:tr>
        <w:tc>
          <w:tcPr>
            <w:tcW w:type="dxa" w:w="2016"/>
            <w:shd w:val="clear" w:color="auto" w:fill="FFFFFF"/>
          </w:tcPr>
          <w:p>
            <w:r>
              <w:rPr>
                <w:b/>
                <w:color w:val="595959"/>
                <w:sz w:val="18"/>
              </w:rPr>
              <w:t>Ridge</w:t>
            </w:r>
          </w:p>
        </w:tc>
        <w:tc>
          <w:tcPr>
            <w:tcW w:type="dxa" w:w="7488"/>
            <w:shd w:val="clear" w:color="auto" w:fill="FFFFFF"/>
          </w:tcPr>
          <w:p>
            <w:r>
              <w:rPr>
                <w:color w:val="595959"/>
                <w:sz w:val="18"/>
              </w:rPr>
              <w:t>A machine learning model that uses up to 84 economic inputs at once (e.g. oil prices, interest rates, job numbers from 1–6 months ago). Keeps all inputs but shrinks weak ones down so they do not dominate.</w:t>
            </w:r>
          </w:p>
        </w:tc>
      </w:tr>
      <w:tr>
        <w:tc>
          <w:tcPr>
            <w:tcW w:type="dxa" w:w="2016"/>
            <w:shd w:val="clear" w:color="auto" w:fill="F2F7FC"/>
          </w:tcPr>
          <w:p>
            <w:r>
              <w:rPr>
                <w:b/>
                <w:color w:val="595959"/>
                <w:sz w:val="18"/>
              </w:rPr>
              <w:t>Lasso</w:t>
            </w:r>
          </w:p>
        </w:tc>
        <w:tc>
          <w:tcPr>
            <w:tcW w:type="dxa" w:w="7488"/>
            <w:shd w:val="clear" w:color="auto" w:fill="F2F7FC"/>
          </w:tcPr>
          <w:p>
            <w:r>
              <w:rPr>
                <w:color w:val="595959"/>
                <w:sz w:val="18"/>
              </w:rPr>
              <w:t>Similar to Ridge but more aggressive — it completely switches off predictors it considers unhelpful and focuses on a tight set of the most useful ones.</w:t>
            </w:r>
          </w:p>
        </w:tc>
      </w:tr>
      <w:tr>
        <w:tc>
          <w:tcPr>
            <w:tcW w:type="dxa" w:w="2016"/>
            <w:shd w:val="clear" w:color="auto" w:fill="FFFFFF"/>
          </w:tcPr>
          <w:p>
            <w:r>
              <w:rPr>
                <w:b/>
                <w:color w:val="595959"/>
                <w:sz w:val="18"/>
              </w:rPr>
              <w:t>Random Forest</w:t>
            </w:r>
          </w:p>
        </w:tc>
        <w:tc>
          <w:tcPr>
            <w:tcW w:type="dxa" w:w="7488"/>
            <w:shd w:val="clear" w:color="auto" w:fill="FFFFFF"/>
          </w:tcPr>
          <w:p>
            <w:r>
              <w:rPr>
                <w:color w:val="595959"/>
                <w:sz w:val="18"/>
              </w:rPr>
              <w:t>Runs hundreds of separate decision trees (like a panel of advisors each giving their own answer) and averages the results. Good at handling unusual, extreme events.</w:t>
            </w:r>
          </w:p>
        </w:tc>
      </w:tr>
      <w:tr>
        <w:tc>
          <w:tcPr>
            <w:tcW w:type="dxa" w:w="2016"/>
            <w:shd w:val="clear" w:color="auto" w:fill="F2F7FC"/>
          </w:tcPr>
          <w:p>
            <w:r>
              <w:rPr>
                <w:b/>
                <w:color w:val="595959"/>
                <w:sz w:val="18"/>
              </w:rPr>
              <w:t>XGBoost</w:t>
            </w:r>
          </w:p>
        </w:tc>
        <w:tc>
          <w:tcPr>
            <w:tcW w:type="dxa" w:w="7488"/>
            <w:shd w:val="clear" w:color="auto" w:fill="F2F7FC"/>
          </w:tcPr>
          <w:p>
            <w:r>
              <w:rPr>
                <w:color w:val="595959"/>
                <w:sz w:val="18"/>
              </w:rPr>
              <w:t>A more advanced version of the decision-tree approach, where each new tree learns from the mistakes of the previous one. The gold standard in modern applied forecasting.</w:t>
            </w:r>
          </w:p>
        </w:tc>
      </w:tr>
    </w:tbl>
    <w:p>
      <w:pPr>
        <w:spacing w:before="360" w:after="80"/>
      </w:pPr>
      <w:r>
        <w:rPr>
          <w:b/>
          <w:color w:val="1F3964"/>
          <w:sz w:val="30"/>
        </w:rPr>
        <w:t>4. The Data We Used</w:t>
      </w:r>
    </w:p>
    <w:p>
      <w:pPr>
        <w:spacing w:after="120"/>
      </w:pPr>
      <w:r>
        <w:rPr>
          <w:color w:val="595959"/>
          <w:sz w:val="20"/>
        </w:rPr>
        <w:t>All data was downloaded automatically from FRED — the Federal Reserve's free public database of economic statistics. We pulled 11 different monthly series going back to 1990, giving us over 400 months of history to work with.</w:t>
      </w:r>
    </w:p>
    <w:p>
      <w:pPr>
        <w:spacing w:after="120"/>
      </w:pPr>
      <w:r>
        <w:rPr>
          <w:color w:val="595959"/>
          <w:sz w:val="20"/>
        </w:rPr>
        <w:t>The key inputs included:</w:t>
      </w:r>
    </w:p>
    <w:p>
      <w:pPr>
        <w:pStyle w:val="ListBullet"/>
        <w:spacing w:after="60"/>
      </w:pPr>
      <w:r>
        <w:rPr>
          <w:color w:val="595959"/>
          <w:sz w:val="20"/>
        </w:rPr>
        <w:t>CPI Inflation — how fast prices are rising year-over-year</w:t>
      </w:r>
    </w:p>
    <w:p>
      <w:pPr>
        <w:pStyle w:val="ListBullet"/>
        <w:spacing w:after="60"/>
      </w:pPr>
      <w:r>
        <w:rPr>
          <w:color w:val="595959"/>
          <w:sz w:val="20"/>
        </w:rPr>
        <w:t>Unemployment Rate — percentage of workers without a job</w:t>
      </w:r>
    </w:p>
    <w:p>
      <w:pPr>
        <w:pStyle w:val="ListBullet"/>
        <w:spacing w:after="60"/>
      </w:pPr>
      <w:r>
        <w:rPr>
          <w:color w:val="595959"/>
          <w:sz w:val="20"/>
        </w:rPr>
        <w:t>Federal Funds Rate — the interest rate set by the Federal Reserve</w:t>
      </w:r>
    </w:p>
    <w:p>
      <w:pPr>
        <w:pStyle w:val="ListBullet"/>
        <w:spacing w:after="60"/>
      </w:pPr>
      <w:r>
        <w:rPr>
          <w:color w:val="595959"/>
          <w:sz w:val="20"/>
        </w:rPr>
        <w:t>10-Year Treasury Rate — what the market expects long-term interest rates to be</w:t>
      </w:r>
    </w:p>
    <w:p>
      <w:pPr>
        <w:pStyle w:val="ListBullet"/>
        <w:spacing w:after="60"/>
      </w:pPr>
      <w:r>
        <w:rPr>
          <w:color w:val="595959"/>
          <w:sz w:val="20"/>
        </w:rPr>
        <w:t>Yield Spread — the gap between long-term and short-term interest rates (a classic early-warning signal for recessions)</w:t>
      </w:r>
    </w:p>
    <w:p>
      <w:pPr>
        <w:pStyle w:val="ListBullet"/>
        <w:spacing w:after="60"/>
      </w:pPr>
      <w:r>
        <w:rPr>
          <w:color w:val="595959"/>
          <w:sz w:val="20"/>
        </w:rPr>
        <w:t>Oil Prices — a major driver of inflation spikes</w:t>
      </w:r>
    </w:p>
    <w:p>
      <w:pPr>
        <w:pStyle w:val="ListBullet"/>
        <w:spacing w:after="60"/>
      </w:pPr>
      <w:r>
        <w:rPr>
          <w:color w:val="595959"/>
          <w:sz w:val="20"/>
        </w:rPr>
        <w:t>Industrial Production — how much the economy is actually producing</w:t>
      </w:r>
    </w:p>
    <w:p>
      <w:pPr>
        <w:pStyle w:val="ListBullet"/>
        <w:spacing w:after="60"/>
      </w:pPr>
      <w:r>
        <w:rPr>
          <w:color w:val="595959"/>
          <w:sz w:val="20"/>
        </w:rPr>
        <w:t>Consumer Sentiment — how confident people feel about the economy</w:t>
      </w:r>
    </w:p>
    <w:p>
      <w:pPr>
        <w:pStyle w:val="ListBullet"/>
        <w:spacing w:after="60"/>
      </w:pPr>
      <w:r>
        <w:rPr>
          <w:color w:val="595959"/>
          <w:sz w:val="20"/>
        </w:rPr>
        <w:t>Nonfarm Payrolls, M2 Money Supply — employment and money-supply indicators</w:t>
      </w:r>
    </w:p>
    <w:p>
      <w:pPr>
        <w:spacing w:after="120"/>
      </w:pPr>
      <w:r>
        <w:rPr>
          <w:color w:val="595959"/>
          <w:sz w:val="20"/>
        </w:rPr>
        <w:t>For the machine learning models, we gave each one the current value AND the past 6 monthly values of all 12 variables — 84 data points per forecast. The traditional models only saw inflation and unemployment. This information advantage is deliberate: it tests whether that extra data actually helps.</w:t>
      </w:r>
    </w:p>
    <w:p>
      <w:pPr>
        <w:spacing w:before="360" w:after="80"/>
      </w:pPr>
      <w:r>
        <w:rPr>
          <w:b/>
          <w:color w:val="1F3964"/>
          <w:sz w:val="30"/>
        </w:rPr>
        <w:t>5. What the Results Show</w:t>
      </w:r>
    </w:p>
    <w:p>
      <w:pPr>
        <w:spacing w:before="200" w:after="60"/>
      </w:pPr>
      <w:r>
        <w:rPr>
          <w:b/>
          <w:color w:val="2E75B6"/>
          <w:sz w:val="22"/>
        </w:rPr>
        <w:t>The Winner Grid</w:t>
      </w:r>
    </w:p>
    <w:p>
      <w:pPr>
        <w:spacing w:after="120"/>
      </w:pPr>
      <w:r>
        <w:rPr>
          <w:color w:val="595959"/>
          <w:sz w:val="20"/>
        </w:rPr>
        <w:t>For each combination of what we are forecasting and how far ahead, here is which model produced the most accurate forecasts: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3964"/>
          </w:tcPr>
          <w:p>
            <w:pPr>
              <w:jc w:val="center"/>
            </w:pPr>
            <w:r>
              <w:rPr>
                <w:b/>
                <w:color w:val="FFFFFF"/>
                <w:sz w:val="18"/>
              </w:rPr>
              <w:t>What we forecast</w:t>
            </w:r>
          </w:p>
        </w:tc>
        <w:tc>
          <w:tcPr>
            <w:tcW w:type="dxa" w:w="2304"/>
            <w:shd w:val="clear" w:color="auto" w:fill="1F3964"/>
          </w:tcPr>
          <w:p>
            <w:pPr>
              <w:jc w:val="center"/>
            </w:pPr>
            <w:r>
              <w:rPr>
                <w:b/>
                <w:color w:val="FFFFFF"/>
                <w:sz w:val="18"/>
              </w:rPr>
              <w:t>1 month ahead</w:t>
            </w:r>
          </w:p>
        </w:tc>
        <w:tc>
          <w:tcPr>
            <w:tcW w:type="dxa" w:w="2304"/>
            <w:shd w:val="clear" w:color="auto" w:fill="1F3964"/>
          </w:tcPr>
          <w:p>
            <w:pPr>
              <w:jc w:val="center"/>
            </w:pPr>
            <w:r>
              <w:rPr>
                <w:b/>
                <w:color w:val="FFFFFF"/>
                <w:sz w:val="18"/>
              </w:rPr>
              <w:t>3 months ahead</w:t>
            </w:r>
          </w:p>
        </w:tc>
        <w:tc>
          <w:tcPr>
            <w:tcW w:type="dxa" w:w="2304"/>
            <w:shd w:val="clear" w:color="auto" w:fill="1F3964"/>
          </w:tcPr>
          <w:p>
            <w:pPr>
              <w:jc w:val="center"/>
            </w:pPr>
            <w:r>
              <w:rPr>
                <w:b/>
                <w:color w:val="FFFFFF"/>
                <w:sz w:val="18"/>
              </w:rPr>
              <w:t>6 months ahead</w:t>
            </w:r>
          </w:p>
        </w:tc>
      </w:tr>
      <w:tr>
        <w:tc>
          <w:tcPr>
            <w:tcW w:type="dxa" w:w="2592"/>
            <w:shd w:val="clear" w:color="auto" w:fill="F2F7FC"/>
          </w:tcPr>
          <w:p>
            <w:r>
              <w:rPr>
                <w:b/>
                <w:color w:val="595959"/>
                <w:sz w:val="18"/>
              </w:rPr>
              <w:t>Inflation</w:t>
            </w:r>
          </w:p>
        </w:tc>
        <w:tc>
          <w:tcPr>
            <w:tcW w:type="dxa" w:w="2304"/>
            <w:shd w:val="clear" w:color="auto" w:fill="F2F7FC"/>
          </w:tcPr>
          <w:p>
            <w:r>
              <w:rPr>
                <w:color w:val="595959"/>
                <w:sz w:val="18"/>
              </w:rPr>
              <w:t>Lasso</w:t>
            </w:r>
          </w:p>
        </w:tc>
        <w:tc>
          <w:tcPr>
            <w:tcW w:type="dxa" w:w="2304"/>
            <w:shd w:val="clear" w:color="auto" w:fill="F2F7FC"/>
          </w:tcPr>
          <w:p>
            <w:r>
              <w:rPr>
                <w:color w:val="595959"/>
                <w:sz w:val="18"/>
              </w:rPr>
              <w:t>XGBoost</w:t>
            </w:r>
          </w:p>
        </w:tc>
        <w:tc>
          <w:tcPr>
            <w:tcW w:type="dxa" w:w="2304"/>
            <w:shd w:val="clear" w:color="auto" w:fill="F2F7FC"/>
          </w:tcPr>
          <w:p>
            <w:r>
              <w:rPr>
                <w:color w:val="595959"/>
                <w:sz w:val="18"/>
              </w:rPr>
              <w:t>XGBoost</w:t>
            </w:r>
          </w:p>
        </w:tc>
      </w:tr>
      <w:tr>
        <w:tc>
          <w:tcPr>
            <w:tcW w:type="dxa" w:w="2592"/>
            <w:shd w:val="clear" w:color="auto" w:fill="FFFFFF"/>
          </w:tcPr>
          <w:p>
            <w:r>
              <w:rPr>
                <w:b/>
                <w:color w:val="595959"/>
                <w:sz w:val="18"/>
              </w:rPr>
              <w:t>Unemployment</w:t>
            </w:r>
          </w:p>
        </w:tc>
        <w:tc>
          <w:tcPr>
            <w:tcW w:type="dxa" w:w="2304"/>
            <w:shd w:val="clear" w:color="auto" w:fill="FFFFFF"/>
          </w:tcPr>
          <w:p>
            <w:r>
              <w:rPr>
                <w:color w:val="595959"/>
                <w:sz w:val="18"/>
              </w:rPr>
              <w:t>XGBoost</w:t>
            </w:r>
          </w:p>
        </w:tc>
        <w:tc>
          <w:tcPr>
            <w:tcW w:type="dxa" w:w="2304"/>
            <w:shd w:val="clear" w:color="auto" w:fill="FFFFFF"/>
          </w:tcPr>
          <w:p>
            <w:r>
              <w:rPr>
                <w:color w:val="595959"/>
                <w:sz w:val="18"/>
              </w:rPr>
              <w:t>XGBoost</w:t>
            </w:r>
          </w:p>
        </w:tc>
        <w:tc>
          <w:tcPr>
            <w:tcW w:type="dxa" w:w="2304"/>
            <w:shd w:val="clear" w:color="auto" w:fill="FFFFFF"/>
          </w:tcPr>
          <w:p>
            <w:r>
              <w:rPr>
                <w:color w:val="595959"/>
                <w:sz w:val="18"/>
              </w:rPr>
              <w:t>XGBoost</w:t>
            </w:r>
          </w:p>
        </w:tc>
      </w:tr>
    </w:tbl>
    <w:p/>
    <w:p>
      <w:pPr>
        <w:spacing w:after="120"/>
      </w:pPr>
      <w:r>
        <w:rPr>
          <w:color w:val="595959"/>
          <w:sz w:val="20"/>
        </w:rPr>
        <w:t>XGBoost wins five out of six combinations. Lasso wins the one exception — short-horizon inflation — where its ability to focus on a small number of key signals proves more effective than XGBoost's complexity.</w:t>
      </w:r>
    </w:p>
    <w:p>
      <w:pPr>
        <w:spacing w:before="200" w:after="60"/>
      </w:pPr>
      <w:r>
        <w:rPr>
          <w:b/>
          <w:color w:val="2E75B6"/>
          <w:sz w:val="22"/>
        </w:rPr>
        <w:t>Finding 1 — Machine Learning Beats Traditional Models, But Not Always By Much</w:t>
      </w:r>
    </w:p>
    <w:p>
      <w:pPr>
        <w:spacing w:after="120"/>
      </w:pPr>
      <w:r>
        <w:rPr>
          <w:color w:val="595959"/>
          <w:sz w:val="20"/>
        </w:rPr>
        <w:t>For inflation one month ahead, the traditional ARIMA model (RMSE: 0.402) was actually better than the Naive model (RMSE: 0.449) — but Lasso (RMSE: 0.229) beat them both by a large margin. That is roughly a 43% improvement over ARIMA.</w:t>
      </w:r>
    </w:p>
    <w:p>
      <w:pPr>
        <w:spacing w:after="120"/>
      </w:pPr>
      <w:r>
        <w:rPr>
          <w:color w:val="595959"/>
          <w:sz w:val="20"/>
        </w:rPr>
        <w:t>At three and six months ahead, the traditional models essentially gave up and matched the Naive forecast. XGBoost, however, kept improving — cutting the Naive error by 40% at six months ahead for inflation. This confirms the core hypothesis: machine learning adds the most value at longer horizons, where traditional models run out of signal.</w:t>
      </w:r>
    </w:p>
    <w:p>
      <w:pPr>
        <w:spacing w:before="200" w:after="60"/>
      </w:pPr>
      <w:r>
        <w:rPr>
          <w:b/>
          <w:color w:val="2E75B6"/>
          <w:sz w:val="22"/>
        </w:rPr>
        <w:t>Finding 2 — The COVID Shock Exposed a Fatal Weakness in Traditional Models</w:t>
      </w:r>
    </w:p>
    <w:p>
      <w:pPr>
        <w:spacing w:after="120"/>
      </w:pPr>
      <w:r>
        <w:rPr>
          <w:color w:val="595959"/>
          <w:sz w:val="20"/>
        </w:rPr>
        <w:t>This is the most striking result in the entire project. For unemployment forecasting, the Naive model ("next month will look like this month") beat ARIMA and VAR at every single horizon — sometimes by a very wide margin.</w:t>
      </w:r>
    </w:p>
    <w:p>
      <w:pPr>
        <w:spacing w:after="120"/>
      </w:pPr>
      <w:r>
        <w:rPr>
          <w:color w:val="595959"/>
          <w:sz w:val="20"/>
        </w:rPr>
        <w:t>Why? In April 2020, unemployment shot from 3.5% to 14.8% in a single month — the fastest rise in recorded history — and then fell almost as fast. ARIMA works by assuming that trends continue smoothly. When unemployment spiked, ARIMA assumed it would keep rising and produced forecasts of 20%, 25%, 30% unemployment that never materialised. Its six-month-ahead RMSE reached 7.0 — five times worse than the Naive model's 1.4.</w:t>
      </w:r>
    </w:p>
    <w:p>
      <w:pPr>
        <w:spacing w:after="120"/>
      </w:pPr>
      <w:r>
        <w:rPr>
          <w:color w:val="595959"/>
          <w:sz w:val="20"/>
        </w:rPr>
        <w:t>XGBoost handled this far better (RMSE: 0.956 at six months) because decision trees naturally contain extreme values rather than extrapolating them. Random Forest also held up well (RMSE: 1.168). Linear machine learning models (Ridge, Lasso) collapsed just as badly as ARIMA for unemployment — they share the same weakness.</w:t>
      </w:r>
    </w:p>
    <w:p>
      <w:pPr>
        <w:spacing w:before="200" w:after="60"/>
      </w:pPr>
      <w:r>
        <w:rPr>
          <w:b/>
          <w:color w:val="2E75B6"/>
          <w:sz w:val="22"/>
        </w:rPr>
        <w:t>Finding 3 — Performance Varies Dramatically by Time Period</w:t>
      </w:r>
    </w:p>
    <w:p>
      <w:pPr>
        <w:spacing w:after="120"/>
      </w:pPr>
      <w:r>
        <w:rPr>
          <w:color w:val="595959"/>
          <w:sz w:val="20"/>
        </w:rPr>
        <w:t>We split the results into three historical periods to see if models held up consistently:</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1F3964"/>
          </w:tcPr>
          <w:p>
            <w:pPr>
              <w:jc w:val="center"/>
            </w:pPr>
            <w:r>
              <w:rPr>
                <w:b/>
                <w:color w:val="FFFFFF"/>
                <w:sz w:val="18"/>
              </w:rPr>
              <w:t>Period</w:t>
            </w:r>
          </w:p>
        </w:tc>
        <w:tc>
          <w:tcPr>
            <w:tcW w:type="dxa" w:w="4032"/>
            <w:shd w:val="clear" w:color="auto" w:fill="1F3964"/>
          </w:tcPr>
          <w:p>
            <w:pPr>
              <w:jc w:val="center"/>
            </w:pPr>
            <w:r>
              <w:rPr>
                <w:b/>
                <w:color w:val="FFFFFF"/>
                <w:sz w:val="18"/>
              </w:rPr>
              <w:t>What Was Happening</w:t>
            </w:r>
          </w:p>
        </w:tc>
        <w:tc>
          <w:tcPr>
            <w:tcW w:type="dxa" w:w="3456"/>
            <w:shd w:val="clear" w:color="auto" w:fill="1F3964"/>
          </w:tcPr>
          <w:p>
            <w:pPr>
              <w:jc w:val="center"/>
            </w:pPr>
            <w:r>
              <w:rPr>
                <w:b/>
                <w:color w:val="FFFFFF"/>
                <w:sz w:val="18"/>
              </w:rPr>
              <w:t>Who Performed Best</w:t>
            </w:r>
          </w:p>
        </w:tc>
      </w:tr>
      <w:tr>
        <w:tc>
          <w:tcPr>
            <w:tcW w:type="dxa" w:w="2016"/>
            <w:shd w:val="clear" w:color="auto" w:fill="F2F7FC"/>
          </w:tcPr>
          <w:p>
            <w:r>
              <w:rPr>
                <w:b/>
                <w:color w:val="595959"/>
                <w:sz w:val="18"/>
              </w:rPr>
              <w:t>Pre-2008</w:t>
            </w:r>
          </w:p>
        </w:tc>
        <w:tc>
          <w:tcPr>
            <w:tcW w:type="dxa" w:w="4032"/>
            <w:shd w:val="clear" w:color="auto" w:fill="F2F7FC"/>
          </w:tcPr>
          <w:p>
            <w:r>
              <w:rPr>
                <w:color w:val="595959"/>
                <w:sz w:val="18"/>
              </w:rPr>
              <w:t>Stable economy, low volatility</w:t>
            </w:r>
          </w:p>
        </w:tc>
        <w:tc>
          <w:tcPr>
            <w:tcW w:type="dxa" w:w="3456"/>
            <w:shd w:val="clear" w:color="auto" w:fill="F2F7FC"/>
          </w:tcPr>
          <w:p>
            <w:r>
              <w:rPr>
                <w:color w:val="595959"/>
                <w:sz w:val="18"/>
              </w:rPr>
              <w:t>Lasso (inflation) and XGBoost (unemployment) — both dominant</w:t>
            </w:r>
          </w:p>
        </w:tc>
      </w:tr>
      <w:tr>
        <w:tc>
          <w:tcPr>
            <w:tcW w:type="dxa" w:w="2016"/>
            <w:shd w:val="clear" w:color="auto" w:fill="FFFFFF"/>
          </w:tcPr>
          <w:p>
            <w:r>
              <w:rPr>
                <w:b/>
                <w:color w:val="595959"/>
                <w:sz w:val="18"/>
              </w:rPr>
              <w:t>2008-2019</w:t>
            </w:r>
          </w:p>
        </w:tc>
        <w:tc>
          <w:tcPr>
            <w:tcW w:type="dxa" w:w="4032"/>
            <w:shd w:val="clear" w:color="auto" w:fill="FFFFFF"/>
          </w:tcPr>
          <w:p>
            <w:r>
              <w:rPr>
                <w:color w:val="595959"/>
                <w:sz w:val="18"/>
              </w:rPr>
              <w:t>Financial crisis recovery, low inflation</w:t>
            </w:r>
          </w:p>
        </w:tc>
        <w:tc>
          <w:tcPr>
            <w:tcW w:type="dxa" w:w="3456"/>
            <w:shd w:val="clear" w:color="auto" w:fill="FFFFFF"/>
          </w:tcPr>
          <w:p>
            <w:r>
              <w:rPr>
                <w:color w:val="595959"/>
                <w:sz w:val="18"/>
              </w:rPr>
              <w:t>Lasso still strong for inflation; XGBoost leads for unemployment</w:t>
            </w:r>
          </w:p>
        </w:tc>
      </w:tr>
      <w:tr>
        <w:tc>
          <w:tcPr>
            <w:tcW w:type="dxa" w:w="2016"/>
            <w:shd w:val="clear" w:color="auto" w:fill="F2F7FC"/>
          </w:tcPr>
          <w:p>
            <w:r>
              <w:rPr>
                <w:b/>
                <w:color w:val="595959"/>
                <w:sz w:val="18"/>
              </w:rPr>
              <w:t>2020 onward</w:t>
            </w:r>
          </w:p>
        </w:tc>
        <w:tc>
          <w:tcPr>
            <w:tcW w:type="dxa" w:w="4032"/>
            <w:shd w:val="clear" w:color="auto" w:fill="F2F7FC"/>
          </w:tcPr>
          <w:p>
            <w:r>
              <w:rPr>
                <w:color w:val="595959"/>
                <w:sz w:val="18"/>
              </w:rPr>
              <w:t>COVID shock, inflation surge</w:t>
            </w:r>
          </w:p>
        </w:tc>
        <w:tc>
          <w:tcPr>
            <w:tcW w:type="dxa" w:w="3456"/>
            <w:shd w:val="clear" w:color="auto" w:fill="F2F7FC"/>
          </w:tcPr>
          <w:p>
            <w:r>
              <w:rPr>
                <w:color w:val="595959"/>
                <w:sz w:val="18"/>
              </w:rPr>
              <w:t>XGBoost clearly best — all other models struggle badly</w:t>
            </w:r>
          </w:p>
        </w:tc>
      </w:tr>
    </w:tbl>
    <w:p/>
    <w:p>
      <w:pPr>
        <w:spacing w:after="120"/>
      </w:pPr>
      <w:r>
        <w:rPr>
          <w:color w:val="595959"/>
          <w:sz w:val="20"/>
        </w:rPr>
        <w:t>The key takeaway: XGBoost is the only model that performs well across all three regimes. Every other model — including the machine learning ones — has at least one period where it breaks down significantly.</w:t>
      </w:r>
    </w:p>
    <w:p>
      <w:pPr>
        <w:spacing w:before="200" w:after="60"/>
      </w:pPr>
      <w:r>
        <w:rPr>
          <w:b/>
          <w:color w:val="2E75B6"/>
          <w:sz w:val="22"/>
        </w:rPr>
        <w:t>Finding 4 — What the Models Actually Pay Attention To</w:t>
      </w:r>
    </w:p>
    <w:p>
      <w:pPr>
        <w:spacing w:after="120"/>
      </w:pPr>
      <w:r>
        <w:rPr>
          <w:color w:val="595959"/>
          <w:sz w:val="20"/>
        </w:rPr>
        <w:t>We looked inside the Random Forest and XGBoost models to see which of the 84 inputs they weighted most heavily. Some interesting patterns emerged:</w:t>
      </w:r>
    </w:p>
    <w:p>
      <w:pPr>
        <w:pStyle w:val="ListBullet"/>
        <w:spacing w:after="60"/>
      </w:pPr>
      <w:r>
        <w:rPr>
          <w:b/>
          <w:color w:val="1F3964"/>
          <w:sz w:val="20"/>
        </w:rPr>
        <w:t xml:space="preserve">XGBoost:  </w:t>
      </w:r>
      <w:r>
        <w:rPr>
          <w:color w:val="595959"/>
          <w:sz w:val="20"/>
        </w:rPr>
        <w:t>XGBoost spreads its attention widely — it genuinely uses lagged values of unemployment, inflation, Treasury rates, and payrolls from multiple months back. It is learning real economic dynamics.</w:t>
      </w:r>
    </w:p>
    <w:p>
      <w:pPr>
        <w:pStyle w:val="ListBullet"/>
        <w:spacing w:after="60"/>
      </w:pPr>
      <w:r>
        <w:rPr>
          <w:b/>
          <w:color w:val="1F3964"/>
          <w:sz w:val="20"/>
        </w:rPr>
        <w:t xml:space="preserve">Random Forest:  </w:t>
      </w:r>
      <w:r>
        <w:rPr>
          <w:color w:val="595959"/>
          <w:sz w:val="20"/>
        </w:rPr>
        <w:t>Random Forest is more conservative — it puts heavy weight on the current level of each variable and less on the lags. It behaves a bit like a sophisticated Naive model, anchoring on where things are right now.</w:t>
      </w:r>
    </w:p>
    <w:p>
      <w:pPr>
        <w:pStyle w:val="ListBullet"/>
        <w:spacing w:after="60"/>
      </w:pPr>
      <w:r>
        <w:rPr>
          <w:b/>
          <w:color w:val="1F3964"/>
          <w:sz w:val="20"/>
        </w:rPr>
        <w:t xml:space="preserve">Both models:  </w:t>
      </w:r>
      <w:r>
        <w:rPr>
          <w:color w:val="595959"/>
          <w:sz w:val="20"/>
        </w:rPr>
        <w:t>The 10-year Treasury rate and yield spread (the gap between long and short rates) appear consistently across both models and all horizons — confirming that financial market signals genuinely help predict both inflation and unemployment.</w:t>
      </w:r>
    </w:p>
    <w:p>
      <w:pPr>
        <w:spacing w:before="360" w:after="80"/>
      </w:pPr>
      <w:r>
        <w:rPr>
          <w:b/>
          <w:color w:val="1F3964"/>
          <w:sz w:val="30"/>
        </w:rPr>
        <w:t>6. What Has Been Built So Far</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1F3964"/>
          </w:tcPr>
          <w:p>
            <w:pPr>
              <w:jc w:val="center"/>
            </w:pPr>
            <w:r>
              <w:rPr>
                <w:b/>
                <w:color w:val="FFFFFF"/>
                <w:sz w:val="18"/>
              </w:rPr>
              <w:t>Deliverable</w:t>
            </w:r>
          </w:p>
        </w:tc>
        <w:tc>
          <w:tcPr>
            <w:tcW w:type="dxa" w:w="4608"/>
            <w:shd w:val="clear" w:color="auto" w:fill="1F3964"/>
          </w:tcPr>
          <w:p>
            <w:pPr>
              <w:jc w:val="center"/>
            </w:pPr>
            <w:r>
              <w:rPr>
                <w:b/>
                <w:color w:val="FFFFFF"/>
                <w:sz w:val="18"/>
              </w:rPr>
              <w:t>What It Is</w:t>
            </w:r>
          </w:p>
        </w:tc>
        <w:tc>
          <w:tcPr>
            <w:tcW w:type="dxa" w:w="2160"/>
            <w:shd w:val="clear" w:color="auto" w:fill="1F3964"/>
          </w:tcPr>
          <w:p>
            <w:pPr>
              <w:jc w:val="center"/>
            </w:pPr>
            <w:r>
              <w:rPr>
                <w:b/>
                <w:color w:val="FFFFFF"/>
                <w:sz w:val="18"/>
              </w:rPr>
              <w:t>Status</w:t>
            </w:r>
          </w:p>
        </w:tc>
      </w:tr>
      <w:tr>
        <w:tc>
          <w:tcPr>
            <w:tcW w:type="dxa" w:w="2736"/>
            <w:shd w:val="clear" w:color="auto" w:fill="F2F7FC"/>
          </w:tcPr>
          <w:p>
            <w:r>
              <w:rPr>
                <w:b/>
                <w:color w:val="595959"/>
                <w:sz w:val="18"/>
              </w:rPr>
              <w:t>Raw data pipeline</w:t>
            </w:r>
          </w:p>
        </w:tc>
        <w:tc>
          <w:tcPr>
            <w:tcW w:type="dxa" w:w="4608"/>
            <w:shd w:val="clear" w:color="auto" w:fill="F2F7FC"/>
          </w:tcPr>
          <w:p>
            <w:r>
              <w:rPr>
                <w:color w:val="595959"/>
                <w:sz w:val="18"/>
              </w:rPr>
              <w:t>Automatically downloads 11 economic series from the Federal Reserve database</w:t>
            </w:r>
          </w:p>
        </w:tc>
        <w:tc>
          <w:tcPr>
            <w:tcW w:type="dxa" w:w="2160"/>
            <w:shd w:val="clear" w:color="auto" w:fill="F2F7FC"/>
          </w:tcPr>
          <w:p>
            <w:r>
              <w:rPr>
                <w:b/>
                <w:color w:val="378644"/>
                <w:sz w:val="18"/>
              </w:rPr>
              <w:t>✅  Complete</w:t>
            </w:r>
          </w:p>
        </w:tc>
      </w:tr>
      <w:tr>
        <w:tc>
          <w:tcPr>
            <w:tcW w:type="dxa" w:w="2736"/>
            <w:shd w:val="clear" w:color="auto" w:fill="FFFFFF"/>
          </w:tcPr>
          <w:p>
            <w:r>
              <w:rPr>
                <w:b/>
                <w:color w:val="595959"/>
                <w:sz w:val="18"/>
              </w:rPr>
              <w:t>Processed dataset</w:t>
            </w:r>
          </w:p>
        </w:tc>
        <w:tc>
          <w:tcPr>
            <w:tcW w:type="dxa" w:w="4608"/>
            <w:shd w:val="clear" w:color="auto" w:fill="FFFFFF"/>
          </w:tcPr>
          <w:p>
            <w:r>
              <w:rPr>
                <w:color w:val="595959"/>
                <w:sz w:val="18"/>
              </w:rPr>
              <w:t>421 months of clean, model-ready data from 1990 to 2026</w:t>
            </w:r>
          </w:p>
        </w:tc>
        <w:tc>
          <w:tcPr>
            <w:tcW w:type="dxa" w:w="2160"/>
            <w:shd w:val="clear" w:color="auto" w:fill="FFFFFF"/>
          </w:tcPr>
          <w:p>
            <w:r>
              <w:rPr>
                <w:b/>
                <w:color w:val="378644"/>
                <w:sz w:val="18"/>
              </w:rPr>
              <w:t>✅  Complete</w:t>
            </w:r>
          </w:p>
        </w:tc>
      </w:tr>
      <w:tr>
        <w:tc>
          <w:tcPr>
            <w:tcW w:type="dxa" w:w="2736"/>
            <w:shd w:val="clear" w:color="auto" w:fill="F2F7FC"/>
          </w:tcPr>
          <w:p>
            <w:r>
              <w:rPr>
                <w:b/>
                <w:color w:val="595959"/>
                <w:sz w:val="18"/>
              </w:rPr>
              <w:t>EDA figures (×6)</w:t>
            </w:r>
          </w:p>
        </w:tc>
        <w:tc>
          <w:tcPr>
            <w:tcW w:type="dxa" w:w="4608"/>
            <w:shd w:val="clear" w:color="auto" w:fill="F2F7FC"/>
          </w:tcPr>
          <w:p>
            <w:r>
              <w:rPr>
                <w:color w:val="595959"/>
                <w:sz w:val="18"/>
              </w:rPr>
              <w:t>Charts showing how inflation and unemployment have behaved over time</w:t>
            </w:r>
          </w:p>
        </w:tc>
        <w:tc>
          <w:tcPr>
            <w:tcW w:type="dxa" w:w="2160"/>
            <w:shd w:val="clear" w:color="auto" w:fill="F2F7FC"/>
          </w:tcPr>
          <w:p>
            <w:r>
              <w:rPr>
                <w:b/>
                <w:color w:val="378644"/>
                <w:sz w:val="18"/>
              </w:rPr>
              <w:t>✅  Complete</w:t>
            </w:r>
          </w:p>
        </w:tc>
      </w:tr>
      <w:tr>
        <w:tc>
          <w:tcPr>
            <w:tcW w:type="dxa" w:w="2736"/>
            <w:shd w:val="clear" w:color="auto" w:fill="FFFFFF"/>
          </w:tcPr>
          <w:p>
            <w:r>
              <w:rPr>
                <w:b/>
                <w:color w:val="595959"/>
                <w:sz w:val="18"/>
              </w:rPr>
              <w:t>ARIMA &amp; VAR backtest</w:t>
            </w:r>
          </w:p>
        </w:tc>
        <w:tc>
          <w:tcPr>
            <w:tcW w:type="dxa" w:w="4608"/>
            <w:shd w:val="clear" w:color="auto" w:fill="FFFFFF"/>
          </w:tcPr>
          <w:p>
            <w:r>
              <w:rPr>
                <w:color w:val="595959"/>
                <w:sz w:val="18"/>
              </w:rPr>
              <w:t>Traditional model forecasts across 300+ evaluation months</w:t>
            </w:r>
          </w:p>
        </w:tc>
        <w:tc>
          <w:tcPr>
            <w:tcW w:type="dxa" w:w="2160"/>
            <w:shd w:val="clear" w:color="auto" w:fill="FFFFFF"/>
          </w:tcPr>
          <w:p>
            <w:r>
              <w:rPr>
                <w:b/>
                <w:color w:val="378644"/>
                <w:sz w:val="18"/>
              </w:rPr>
              <w:t>✅  Complete</w:t>
            </w:r>
          </w:p>
        </w:tc>
      </w:tr>
      <w:tr>
        <w:tc>
          <w:tcPr>
            <w:tcW w:type="dxa" w:w="2736"/>
            <w:shd w:val="clear" w:color="auto" w:fill="F2F7FC"/>
          </w:tcPr>
          <w:p>
            <w:r>
              <w:rPr>
                <w:b/>
                <w:color w:val="595959"/>
                <w:sz w:val="18"/>
              </w:rPr>
              <w:t>ML model backtest</w:t>
            </w:r>
          </w:p>
        </w:tc>
        <w:tc>
          <w:tcPr>
            <w:tcW w:type="dxa" w:w="4608"/>
            <w:shd w:val="clear" w:color="auto" w:fill="F2F7FC"/>
          </w:tcPr>
          <w:p>
            <w:r>
              <w:rPr>
                <w:color w:val="595959"/>
                <w:sz w:val="18"/>
              </w:rPr>
              <w:t>Ridge, Lasso, Random Forest and XGBoost forecasts across the same period</w:t>
            </w:r>
          </w:p>
        </w:tc>
        <w:tc>
          <w:tcPr>
            <w:tcW w:type="dxa" w:w="2160"/>
            <w:shd w:val="clear" w:color="auto" w:fill="F2F7FC"/>
          </w:tcPr>
          <w:p>
            <w:r>
              <w:rPr>
                <w:b/>
                <w:color w:val="378644"/>
                <w:sz w:val="18"/>
              </w:rPr>
              <w:t>✅  Complete</w:t>
            </w:r>
          </w:p>
        </w:tc>
      </w:tr>
      <w:tr>
        <w:tc>
          <w:tcPr>
            <w:tcW w:type="dxa" w:w="2736"/>
            <w:shd w:val="clear" w:color="auto" w:fill="FFFFFF"/>
          </w:tcPr>
          <w:p>
            <w:r>
              <w:rPr>
                <w:b/>
                <w:color w:val="595959"/>
                <w:sz w:val="18"/>
              </w:rPr>
              <w:t>Master results table</w:t>
            </w:r>
          </w:p>
        </w:tc>
        <w:tc>
          <w:tcPr>
            <w:tcW w:type="dxa" w:w="4608"/>
            <w:shd w:val="clear" w:color="auto" w:fill="FFFFFF"/>
          </w:tcPr>
          <w:p>
            <w:r>
              <w:rPr>
                <w:color w:val="595959"/>
                <w:sz w:val="18"/>
              </w:rPr>
              <w:t>All 7 models compared side by side across both targets and all 3 horizons</w:t>
            </w:r>
          </w:p>
        </w:tc>
        <w:tc>
          <w:tcPr>
            <w:tcW w:type="dxa" w:w="2160"/>
            <w:shd w:val="clear" w:color="auto" w:fill="FFFFFF"/>
          </w:tcPr>
          <w:p>
            <w:r>
              <w:rPr>
                <w:b/>
                <w:color w:val="378644"/>
                <w:sz w:val="18"/>
              </w:rPr>
              <w:t>✅  Complete</w:t>
            </w:r>
          </w:p>
        </w:tc>
      </w:tr>
      <w:tr>
        <w:tc>
          <w:tcPr>
            <w:tcW w:type="dxa" w:w="2736"/>
            <w:shd w:val="clear" w:color="auto" w:fill="F2F7FC"/>
          </w:tcPr>
          <w:p>
            <w:r>
              <w:rPr>
                <w:b/>
                <w:color w:val="595959"/>
                <w:sz w:val="18"/>
              </w:rPr>
              <w:t>Diagnostic analysis</w:t>
            </w:r>
          </w:p>
        </w:tc>
        <w:tc>
          <w:tcPr>
            <w:tcW w:type="dxa" w:w="4608"/>
            <w:shd w:val="clear" w:color="auto" w:fill="F2F7FC"/>
          </w:tcPr>
          <w:p>
            <w:r>
              <w:rPr>
                <w:color w:val="595959"/>
                <w:sz w:val="18"/>
              </w:rPr>
              <w:t>Residual plots, feature importance charts, sub-period RMSE breakdown</w:t>
            </w:r>
          </w:p>
        </w:tc>
        <w:tc>
          <w:tcPr>
            <w:tcW w:type="dxa" w:w="2160"/>
            <w:shd w:val="clear" w:color="auto" w:fill="F2F7FC"/>
          </w:tcPr>
          <w:p>
            <w:r>
              <w:rPr>
                <w:b/>
                <w:color w:val="378644"/>
                <w:sz w:val="18"/>
              </w:rPr>
              <w:t>✅  Complete</w:t>
            </w:r>
          </w:p>
        </w:tc>
      </w:tr>
      <w:tr>
        <w:tc>
          <w:tcPr>
            <w:tcW w:type="dxa" w:w="2736"/>
            <w:shd w:val="clear" w:color="auto" w:fill="FFFFFF"/>
          </w:tcPr>
          <w:p>
            <w:r>
              <w:rPr>
                <w:b/>
                <w:color w:val="595959"/>
                <w:sz w:val="18"/>
              </w:rPr>
              <w:t>Model tuning (Day 8)</w:t>
            </w:r>
          </w:p>
        </w:tc>
        <w:tc>
          <w:tcPr>
            <w:tcW w:type="dxa" w:w="4608"/>
            <w:shd w:val="clear" w:color="auto" w:fill="FFFFFF"/>
          </w:tcPr>
          <w:p>
            <w:r>
              <w:rPr>
                <w:color w:val="595959"/>
                <w:sz w:val="18"/>
              </w:rPr>
              <w:t>Improved ARIMA order selection and refined regularisation for Ridge/Lasso</w:t>
            </w:r>
          </w:p>
        </w:tc>
        <w:tc>
          <w:tcPr>
            <w:tcW w:type="dxa" w:w="2160"/>
            <w:shd w:val="clear" w:color="auto" w:fill="FFFFFF"/>
          </w:tcPr>
          <w:p>
            <w:r>
              <w:rPr>
                <w:b/>
                <w:color w:val="BF8700"/>
                <w:sz w:val="18"/>
              </w:rPr>
              <w:t>⏳  Running</w:t>
            </w:r>
          </w:p>
        </w:tc>
      </w:tr>
      <w:tr>
        <w:tc>
          <w:tcPr>
            <w:tcW w:type="dxa" w:w="2736"/>
            <w:shd w:val="clear" w:color="auto" w:fill="F2F7FC"/>
          </w:tcPr>
          <w:p>
            <w:r>
              <w:rPr>
                <w:b/>
                <w:color w:val="595959"/>
                <w:sz w:val="18"/>
              </w:rPr>
              <w:t>Interactive dashboard</w:t>
            </w:r>
          </w:p>
        </w:tc>
        <w:tc>
          <w:tcPr>
            <w:tcW w:type="dxa" w:w="4608"/>
            <w:shd w:val="clear" w:color="auto" w:fill="F2F7FC"/>
          </w:tcPr>
          <w:p>
            <w:r>
              <w:rPr>
                <w:color w:val="595959"/>
                <w:sz w:val="18"/>
              </w:rPr>
              <w:t>Single HTML file with 5 interactive panels — fully explorable in any browser</w:t>
            </w:r>
          </w:p>
        </w:tc>
        <w:tc>
          <w:tcPr>
            <w:tcW w:type="dxa" w:w="2160"/>
            <w:shd w:val="clear" w:color="auto" w:fill="F2F7FC"/>
          </w:tcPr>
          <w:p>
            <w:r>
              <w:rPr>
                <w:b/>
                <w:color w:val="378644"/>
                <w:sz w:val="18"/>
              </w:rPr>
              <w:t>✅  Complete</w:t>
            </w:r>
          </w:p>
        </w:tc>
      </w:tr>
      <w:tr>
        <w:tc>
          <w:tcPr>
            <w:tcW w:type="dxa" w:w="2736"/>
            <w:shd w:val="clear" w:color="auto" w:fill="FFFFFF"/>
          </w:tcPr>
          <w:p>
            <w:r>
              <w:rPr>
                <w:b/>
                <w:color w:val="595959"/>
                <w:sz w:val="18"/>
              </w:rPr>
              <w:t>Final written report</w:t>
            </w:r>
          </w:p>
        </w:tc>
        <w:tc>
          <w:tcPr>
            <w:tcW w:type="dxa" w:w="4608"/>
            <w:shd w:val="clear" w:color="auto" w:fill="FFFFFF"/>
          </w:tcPr>
          <w:p>
            <w:r>
              <w:rPr>
                <w:color w:val="595959"/>
                <w:sz w:val="18"/>
              </w:rPr>
              <w:t>Word document summarising the full project findings and conclusions</w:t>
            </w:r>
          </w:p>
        </w:tc>
        <w:tc>
          <w:tcPr>
            <w:tcW w:type="dxa" w:w="2160"/>
            <w:shd w:val="clear" w:color="auto" w:fill="FFFFFF"/>
          </w:tcPr>
          <w:p>
            <w:r>
              <w:rPr>
                <w:b/>
                <w:color w:val="999999"/>
                <w:sz w:val="18"/>
              </w:rPr>
              <w:t>⬜  Remaining</w:t>
            </w:r>
          </w:p>
        </w:tc>
      </w:tr>
    </w:tbl>
    <w:p>
      <w:pPr>
        <w:spacing w:before="360" w:after="80"/>
      </w:pPr>
      <w:r>
        <w:rPr>
          <w:b/>
          <w:color w:val="1F3964"/>
          <w:sz w:val="30"/>
        </w:rPr>
        <w:t>7. The Interactive Dashboard — What To Look At</w:t>
      </w:r>
    </w:p>
    <w:p>
      <w:pPr>
        <w:spacing w:after="120"/>
      </w:pPr>
      <w:r>
        <w:rPr>
          <w:color w:val="595959"/>
          <w:sz w:val="20"/>
        </w:rPr>
        <w:t>The dashboard (dashboard.html in the Debriefs folder) opens in any web browser and has five sections. Here is what each one shows and why it matters: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F3964"/>
          </w:tcPr>
          <w:p>
            <w:pPr>
              <w:jc w:val="center"/>
            </w:pPr>
            <w:r>
              <w:rPr>
                <w:b/>
                <w:color w:val="FFFFFF"/>
                <w:sz w:val="18"/>
              </w:rPr>
              <w:t>Panel</w:t>
            </w:r>
          </w:p>
        </w:tc>
        <w:tc>
          <w:tcPr>
            <w:tcW w:type="dxa" w:w="3456"/>
            <w:shd w:val="clear" w:color="auto" w:fill="1F3964"/>
          </w:tcPr>
          <w:p>
            <w:pPr>
              <w:jc w:val="center"/>
            </w:pPr>
            <w:r>
              <w:rPr>
                <w:b/>
                <w:color w:val="FFFFFF"/>
                <w:sz w:val="18"/>
              </w:rPr>
              <w:t>What It Shows</w:t>
            </w:r>
          </w:p>
        </w:tc>
        <w:tc>
          <w:tcPr>
            <w:tcW w:type="dxa" w:w="3888"/>
            <w:shd w:val="clear" w:color="auto" w:fill="1F3964"/>
          </w:tcPr>
          <w:p>
            <w:pPr>
              <w:jc w:val="center"/>
            </w:pPr>
            <w:r>
              <w:rPr>
                <w:b/>
                <w:color w:val="FFFFFF"/>
                <w:sz w:val="18"/>
              </w:rPr>
              <w:t>What To Do With It</w:t>
            </w:r>
          </w:p>
        </w:tc>
      </w:tr>
      <w:tr>
        <w:tc>
          <w:tcPr>
            <w:tcW w:type="dxa" w:w="2160"/>
            <w:shd w:val="clear" w:color="auto" w:fill="F2F7FC"/>
          </w:tcPr>
          <w:p>
            <w:r>
              <w:rPr>
                <w:b/>
                <w:color w:val="595959"/>
                <w:sz w:val="18"/>
              </w:rPr>
              <w:t>1. Winner Scorecard</w:t>
            </w:r>
          </w:p>
        </w:tc>
        <w:tc>
          <w:tcPr>
            <w:tcW w:type="dxa" w:w="3456"/>
            <w:shd w:val="clear" w:color="auto" w:fill="F2F7FC"/>
          </w:tcPr>
          <w:p>
            <w:r>
              <w:rPr>
                <w:color w:val="595959"/>
                <w:sz w:val="18"/>
              </w:rPr>
              <w:t>A grid showing which model won at each target and horizon</w:t>
            </w:r>
          </w:p>
        </w:tc>
        <w:tc>
          <w:tcPr>
            <w:tcW w:type="dxa" w:w="3888"/>
            <w:shd w:val="clear" w:color="auto" w:fill="F2F7FC"/>
          </w:tcPr>
          <w:p>
            <w:r>
              <w:rPr>
                <w:color w:val="595959"/>
                <w:sz w:val="18"/>
              </w:rPr>
              <w:t>Start here — sets the narrative immediately</w:t>
            </w:r>
          </w:p>
        </w:tc>
      </w:tr>
      <w:tr>
        <w:tc>
          <w:tcPr>
            <w:tcW w:type="dxa" w:w="2160"/>
            <w:shd w:val="clear" w:color="auto" w:fill="FFFFFF"/>
          </w:tcPr>
          <w:p>
            <w:r>
              <w:rPr>
                <w:b/>
                <w:color w:val="595959"/>
                <w:sz w:val="18"/>
              </w:rPr>
              <w:t>2. RMSE Horse Race</w:t>
            </w:r>
          </w:p>
        </w:tc>
        <w:tc>
          <w:tcPr>
            <w:tcW w:type="dxa" w:w="3456"/>
            <w:shd w:val="clear" w:color="auto" w:fill="FFFFFF"/>
          </w:tcPr>
          <w:p>
            <w:r>
              <w:rPr>
                <w:color w:val="595959"/>
                <w:sz w:val="18"/>
              </w:rPr>
              <w:t>A bar chart comparing all 7 models at any target and horizon you choose</w:t>
            </w:r>
          </w:p>
        </w:tc>
        <w:tc>
          <w:tcPr>
            <w:tcW w:type="dxa" w:w="3888"/>
            <w:shd w:val="clear" w:color="auto" w:fill="FFFFFF"/>
          </w:tcPr>
          <w:p>
            <w:r>
              <w:rPr>
                <w:color w:val="595959"/>
                <w:sz w:val="18"/>
              </w:rPr>
              <w:t>Use the dropdown to explore different combinations</w:t>
            </w:r>
          </w:p>
        </w:tc>
      </w:tr>
      <w:tr>
        <w:tc>
          <w:tcPr>
            <w:tcW w:type="dxa" w:w="2160"/>
            <w:shd w:val="clear" w:color="auto" w:fill="F2F7FC"/>
          </w:tcPr>
          <w:p>
            <w:r>
              <w:rPr>
                <w:b/>
                <w:color w:val="595959"/>
                <w:sz w:val="18"/>
              </w:rPr>
              <w:t>3. Actual vs Predicted</w:t>
            </w:r>
          </w:p>
        </w:tc>
        <w:tc>
          <w:tcPr>
            <w:tcW w:type="dxa" w:w="3456"/>
            <w:shd w:val="clear" w:color="auto" w:fill="F2F7FC"/>
          </w:tcPr>
          <w:p>
            <w:r>
              <w:rPr>
                <w:color w:val="595959"/>
                <w:sz w:val="18"/>
              </w:rPr>
              <w:t>A time series showing forecasts alongside what actually happened</w:t>
            </w:r>
          </w:p>
        </w:tc>
        <w:tc>
          <w:tcPr>
            <w:tcW w:type="dxa" w:w="3888"/>
            <w:shd w:val="clear" w:color="auto" w:fill="F2F7FC"/>
          </w:tcPr>
          <w:p>
            <w:r>
              <w:rPr>
                <w:color w:val="595959"/>
                <w:sz w:val="18"/>
              </w:rPr>
              <w:t>Toggle models on/off, zoom into 2020 to see the COVID shock response</w:t>
            </w:r>
          </w:p>
        </w:tc>
      </w:tr>
      <w:tr>
        <w:tc>
          <w:tcPr>
            <w:tcW w:type="dxa" w:w="2160"/>
            <w:shd w:val="clear" w:color="auto" w:fill="FFFFFF"/>
          </w:tcPr>
          <w:p>
            <w:r>
              <w:rPr>
                <w:b/>
                <w:color w:val="595959"/>
                <w:sz w:val="18"/>
              </w:rPr>
              <w:t>4. Economic Regime Breakdown</w:t>
            </w:r>
          </w:p>
        </w:tc>
        <w:tc>
          <w:tcPr>
            <w:tcW w:type="dxa" w:w="3456"/>
            <w:shd w:val="clear" w:color="auto" w:fill="FFFFFF"/>
          </w:tcPr>
          <w:p>
            <w:r>
              <w:rPr>
                <w:color w:val="595959"/>
                <w:sz w:val="18"/>
              </w:rPr>
              <w:t>How each model performed across three different economic periods</w:t>
            </w:r>
          </w:p>
        </w:tc>
        <w:tc>
          <w:tcPr>
            <w:tcW w:type="dxa" w:w="3888"/>
            <w:shd w:val="clear" w:color="auto" w:fill="FFFFFF"/>
          </w:tcPr>
          <w:p>
            <w:r>
              <w:rPr>
                <w:color w:val="595959"/>
                <w:sz w:val="18"/>
              </w:rPr>
              <w:t>Shows which models are stable vs which collapse under stress</w:t>
            </w:r>
          </w:p>
        </w:tc>
      </w:tr>
      <w:tr>
        <w:tc>
          <w:tcPr>
            <w:tcW w:type="dxa" w:w="2160"/>
            <w:shd w:val="clear" w:color="auto" w:fill="F2F7FC"/>
          </w:tcPr>
          <w:p>
            <w:r>
              <w:rPr>
                <w:b/>
                <w:color w:val="595959"/>
                <w:sz w:val="18"/>
              </w:rPr>
              <w:t>5. Feature Importance</w:t>
            </w:r>
          </w:p>
        </w:tc>
        <w:tc>
          <w:tcPr>
            <w:tcW w:type="dxa" w:w="3456"/>
            <w:shd w:val="clear" w:color="auto" w:fill="F2F7FC"/>
          </w:tcPr>
          <w:p>
            <w:r>
              <w:rPr>
                <w:color w:val="595959"/>
                <w:sz w:val="18"/>
              </w:rPr>
              <w:t>Which economic inputs each ML model weighted most heavily</w:t>
            </w:r>
          </w:p>
        </w:tc>
        <w:tc>
          <w:tcPr>
            <w:tcW w:type="dxa" w:w="3888"/>
            <w:shd w:val="clear" w:color="auto" w:fill="F2F7FC"/>
          </w:tcPr>
          <w:p>
            <w:r>
              <w:rPr>
                <w:color w:val="595959"/>
                <w:sz w:val="18"/>
              </w:rPr>
              <w:t>Use the dropdown to compare RF vs XGBoost across different forecasts</w:t>
            </w:r>
          </w:p>
        </w:tc>
      </w:tr>
    </w:tbl>
    <w:p>
      <w:pPr>
        <w:spacing w:before="360" w:after="80"/>
      </w:pPr>
      <w:r>
        <w:rPr>
          <w:b/>
          <w:color w:val="1F3964"/>
          <w:sz w:val="30"/>
        </w:rPr>
        <w:t>8. What Is Left To Do</w:t>
      </w:r>
    </w:p>
    <w:p>
      <w:pPr>
        <w:spacing w:before="200" w:after="60"/>
      </w:pPr>
      <w:r>
        <w:rPr>
          <w:b/>
          <w:color w:val="2E75B6"/>
          <w:sz w:val="22"/>
        </w:rPr>
        <w:t>Still Running in the Background — Day 8 Tuning</w:t>
      </w:r>
    </w:p>
    <w:p>
      <w:pPr>
        <w:spacing w:after="120"/>
      </w:pPr>
      <w:r>
        <w:rPr>
          <w:color w:val="595959"/>
          <w:sz w:val="20"/>
        </w:rPr>
        <w:t>Two model re-runs are currently processing in the background. These apply small improvements identified during the diagnostic phase:</w:t>
      </w:r>
    </w:p>
    <w:p>
      <w:pPr>
        <w:pStyle w:val="ListBullet"/>
        <w:spacing w:after="60"/>
      </w:pPr>
      <w:r>
        <w:rPr>
          <w:color w:val="595959"/>
          <w:sz w:val="20"/>
        </w:rPr>
        <w:t>ARIMA now automatically selects its own settings for each training window instead of using a one-size-fits-all configuration</w:t>
      </w:r>
    </w:p>
    <w:p>
      <w:pPr>
        <w:pStyle w:val="ListBullet"/>
        <w:spacing w:after="60"/>
      </w:pPr>
      <w:r>
        <w:rPr>
          <w:color w:val="595959"/>
          <w:sz w:val="20"/>
        </w:rPr>
        <w:t>XGBoost has been given 50% more decision trees (150 instead of 100) for slightly more precise forecasts</w:t>
      </w:r>
    </w:p>
    <w:p>
      <w:pPr>
        <w:pStyle w:val="ListBullet"/>
        <w:spacing w:after="60"/>
      </w:pPr>
      <w:r>
        <w:rPr>
          <w:color w:val="595959"/>
          <w:sz w:val="20"/>
        </w:rPr>
        <w:t>Ridge and Lasso have had their regularisation strength adjusted based on what the data suggested works best</w:t>
      </w:r>
    </w:p>
    <w:p>
      <w:pPr>
        <w:spacing w:after="120"/>
      </w:pPr>
      <w:r>
        <w:rPr>
          <w:color w:val="595959"/>
          <w:sz w:val="20"/>
        </w:rPr>
        <w:t>These are refinements, not overhauls. The conclusions will remain the same. Once they finish, the dashboard will be regenerated with the updated numbers — which takes under two minutes.</w:t>
      </w:r>
    </w:p>
    <w:p>
      <w:pPr>
        <w:spacing w:before="200" w:after="60"/>
      </w:pPr>
      <w:r>
        <w:rPr>
          <w:b/>
          <w:color w:val="2E75B6"/>
          <w:sz w:val="22"/>
        </w:rPr>
        <w:t>Day 10 — Final Written Report</w:t>
      </w:r>
    </w:p>
    <w:p>
      <w:pPr>
        <w:spacing w:after="120"/>
      </w:pPr>
      <w:r>
        <w:rPr>
          <w:color w:val="595959"/>
          <w:sz w:val="20"/>
        </w:rPr>
        <w:t>The last remaining task is the final project report — a Word document that tells the complete story of the project from start to finish. It will be structured as follows:</w:t>
      </w:r>
    </w:p>
    <w:p>
      <w:pPr>
        <w:pStyle w:val="ListBullet"/>
        <w:spacing w:after="60"/>
      </w:pPr>
      <w:r>
        <w:rPr>
          <w:color w:val="595959"/>
          <w:sz w:val="20"/>
        </w:rPr>
        <w:t>Why this matters — the real-world importance of forecasting inflation and unemployment</w:t>
      </w:r>
    </w:p>
    <w:p>
      <w:pPr>
        <w:pStyle w:val="ListBullet"/>
        <w:spacing w:after="60"/>
      </w:pPr>
      <w:r>
        <w:rPr>
          <w:color w:val="595959"/>
          <w:sz w:val="20"/>
        </w:rPr>
        <w:t>What we did — the data, the models, the testing method</w:t>
      </w:r>
    </w:p>
    <w:p>
      <w:pPr>
        <w:pStyle w:val="ListBullet"/>
        <w:spacing w:after="60"/>
      </w:pPr>
      <w:r>
        <w:rPr>
          <w:color w:val="595959"/>
          <w:sz w:val="20"/>
        </w:rPr>
        <w:t>What we found — clear, plain-English explanation of all key results</w:t>
      </w:r>
    </w:p>
    <w:p>
      <w:pPr>
        <w:pStyle w:val="ListBullet"/>
        <w:spacing w:after="60"/>
      </w:pPr>
      <w:r>
        <w:rPr>
          <w:color w:val="595959"/>
          <w:sz w:val="20"/>
        </w:rPr>
        <w:t>What it means — whether machine learning truly adds value over traditional tools, and under what conditions</w:t>
      </w:r>
    </w:p>
    <w:p>
      <w:pPr>
        <w:spacing w:after="120"/>
      </w:pPr>
      <w:r>
        <w:rPr>
          <w:color w:val="595959"/>
          <w:sz w:val="20"/>
        </w:rPr>
        <w:t>This document, alongside the dashboard, will form the complete project deliverable.</w:t>
      </w:r>
    </w:p>
    <w:p>
      <w:pPr>
        <w:spacing w:before="360" w:after="80"/>
      </w:pPr>
      <w:r>
        <w:rPr>
          <w:b/>
          <w:color w:val="1F3964"/>
          <w:sz w:val="30"/>
        </w:rPr>
        <w:t>9. The One-Paragraph Summary</w:t>
      </w:r>
    </w:p>
    <w:p>
      <w:pPr>
        <w:spacing w:before="120" w:after="120"/>
        <w:ind w:left="576" w:right="576"/>
      </w:pPr>
      <w:r>
        <w:rPr>
          <w:i/>
          <w:color w:val="2E75B6"/>
          <w:sz w:val="21"/>
        </w:rPr>
        <w:t>We built a forecasting system that pits traditional economic models against modern machine learning algorithms, testing both on over 300 months of real-world data with a strict no-cheating rule. XGBoost — a machine learning method that builds decision trees that learn from each other's mistakes — wins the competition in five out of six categories. The one exception is short-horizon inflation, where a simpler ML model called Lasso edges ahead by focusing only on the most relevant signals. Traditional models (ARIMA, VAR) are never the outright winner in any category, though ARIMA remains competitive for short-horizon inflation. The most dramatic finding is the COVID-19 stress test: XGBoost handled the 2020 unemployment shock far better than any other model, while traditional tools produced catastrophically large errors. The project concludes that machine learning — specifically XGBoost — adds genuine, measurable value in macroeconomic forecasting, especially at longer time horizons and during periods of economic stress.</w:t>
      </w:r>
    </w:p>
    <w:p/>
    <w:p>
      <w:pPr>
        <w:jc w:val="center"/>
      </w:pPr>
      <w:r>
        <w:rPr>
          <w:i/>
          <w:color w:val="999999"/>
          <w:sz w:val="18"/>
        </w:rPr>
        <w:t>All results are based on real Federal Reserve data. The full pipeline is reproducible from a single API key.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