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BD11" w14:textId="77777777" w:rsidR="00754DF8" w:rsidRDefault="00000000">
      <w:pPr>
        <w:spacing w:after="40"/>
        <w:jc w:val="center"/>
      </w:pPr>
      <w:r>
        <w:rPr>
          <w:b/>
          <w:bCs/>
          <w:color w:val="1B3A5C"/>
          <w:sz w:val="36"/>
          <w:szCs w:val="36"/>
        </w:rPr>
        <w:t>Turning Unprofitable FA Clients Into Profitable Relationships</w:t>
      </w:r>
    </w:p>
    <w:p w14:paraId="066424F9" w14:textId="77777777" w:rsidR="00754DF8" w:rsidRDefault="00000000">
      <w:pPr>
        <w:spacing w:after="200"/>
        <w:jc w:val="center"/>
      </w:pPr>
      <w:r>
        <w:rPr>
          <w:i/>
          <w:iCs/>
          <w:color w:val="2A8F8F"/>
        </w:rPr>
        <w:t>Strategic Options for Margin Improvement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754DF8" w14:paraId="78807216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2A8F8F"/>
              <w:left w:val="single" w:sz="12" w:space="0" w:color="2A8F8F"/>
              <w:bottom w:val="single" w:sz="4" w:space="0" w:color="2A8F8F"/>
              <w:right w:val="single" w:sz="4" w:space="0" w:color="2A8F8F"/>
            </w:tcBorders>
            <w:shd w:val="clear" w:color="auto" w:fill="E8F4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EB183B" w14:textId="77777777" w:rsidR="00754DF8" w:rsidRDefault="00000000">
            <w:pPr>
              <w:spacing w:after="60"/>
            </w:pPr>
            <w:r>
              <w:rPr>
                <w:b/>
                <w:bCs/>
                <w:color w:val="1B3A5C"/>
                <w:sz w:val="20"/>
                <w:szCs w:val="20"/>
              </w:rPr>
              <w:t>EXECUTIVE SUMMARY</w:t>
            </w:r>
          </w:p>
          <w:p w14:paraId="380D7CFB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8"/>
                <w:szCs w:val="18"/>
              </w:rPr>
              <w:t>Non-profitable FA clients erode margins and consume disproportionate advisor time. This briefing outlines six strategic levers to shift these relationships from negative to positive margin — ranging from quick-win fee restructuring to longer-term portfolio optimisation. Each approach can be deployed independently or combined for maximum impact.</w:t>
            </w:r>
          </w:p>
        </w:tc>
      </w:tr>
    </w:tbl>
    <w:p w14:paraId="72A5AC14" w14:textId="77777777" w:rsidR="00754DF8" w:rsidRDefault="00754DF8">
      <w:pPr>
        <w:spacing w:before="160" w:after="80"/>
      </w:pPr>
    </w:p>
    <w:p w14:paraId="58C75F4B" w14:textId="77777777" w:rsidR="00754DF8" w:rsidRDefault="00000000">
      <w:pPr>
        <w:pStyle w:val="Heading2"/>
      </w:pPr>
      <w:r>
        <w:t>SIX STRATEGIC LEVERS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754DF8" w14:paraId="0FF320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FACF7" w14:textId="77777777" w:rsidR="00754D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B6F13" w14:textId="77777777" w:rsidR="00754DF8" w:rsidRDefault="00000000">
            <w:r>
              <w:rPr>
                <w:b/>
                <w:bCs/>
                <w:color w:val="1B3A5C"/>
                <w:sz w:val="18"/>
                <w:szCs w:val="18"/>
              </w:rPr>
              <w:t>Fee Restructuring</w:t>
            </w:r>
          </w:p>
        </w:tc>
        <w:tc>
          <w:tcPr>
            <w:tcW w:w="66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102BE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7"/>
                <w:szCs w:val="17"/>
              </w:rPr>
              <w:t>Introduce minimum annual fees, tiered service packages (bronze/silver/gold), or retainer + performance hybrids to establish a margin floor across all accounts.</w:t>
            </w:r>
          </w:p>
        </w:tc>
      </w:tr>
      <w:tr w:rsidR="00754DF8" w14:paraId="1BCF59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0C96C" w14:textId="77777777" w:rsidR="00754D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C4033" w14:textId="77777777" w:rsidR="00754DF8" w:rsidRDefault="00000000">
            <w:r>
              <w:rPr>
                <w:b/>
                <w:bCs/>
                <w:color w:val="1B3A5C"/>
                <w:sz w:val="18"/>
                <w:szCs w:val="18"/>
              </w:rPr>
              <w:t>Cost-to-Serve Reduction</w:t>
            </w:r>
          </w:p>
        </w:tc>
        <w:tc>
          <w:tcPr>
            <w:tcW w:w="66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7CA0D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7"/>
                <w:szCs w:val="17"/>
              </w:rPr>
              <w:t>Migrate low-margin clients to digital-first servicing: automated rebalancing, webinar-style group reviews, and junior team support for routine admin and compliance.</w:t>
            </w:r>
          </w:p>
        </w:tc>
      </w:tr>
      <w:tr w:rsidR="00754DF8" w14:paraId="34175F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EF1C5" w14:textId="77777777" w:rsidR="00754D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E02CF" w14:textId="77777777" w:rsidR="00754DF8" w:rsidRDefault="00000000">
            <w:r>
              <w:rPr>
                <w:b/>
                <w:bCs/>
                <w:color w:val="1B3A5C"/>
                <w:sz w:val="18"/>
                <w:szCs w:val="18"/>
              </w:rPr>
              <w:t>Revenue Expansion</w:t>
            </w:r>
          </w:p>
        </w:tc>
        <w:tc>
          <w:tcPr>
            <w:tcW w:w="66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E9CF0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7"/>
                <w:szCs w:val="17"/>
              </w:rPr>
              <w:t>Cross-sell tax planning, estate planning, insurance, and lending. Run consolidation campaigns to pull in assets held elsewhere. Target life-event triggers (inheritance, retirement, exits).</w:t>
            </w:r>
          </w:p>
        </w:tc>
      </w:tr>
      <w:tr w:rsidR="00754DF8" w14:paraId="3A4492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A9A09" w14:textId="77777777" w:rsidR="00754D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45357" w14:textId="77777777" w:rsidR="00754DF8" w:rsidRDefault="00000000">
            <w:r>
              <w:rPr>
                <w:b/>
                <w:bCs/>
                <w:color w:val="1B3A5C"/>
                <w:sz w:val="18"/>
                <w:szCs w:val="18"/>
              </w:rPr>
              <w:t>Client Segmentation</w:t>
            </w:r>
          </w:p>
        </w:tc>
        <w:tc>
          <w:tcPr>
            <w:tcW w:w="66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E050E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7"/>
                <w:szCs w:val="17"/>
              </w:rPr>
              <w:t xml:space="preserve">Set clear AUM/revenue thresholds with 12-month graduation pathways. Partner with </w:t>
            </w:r>
            <w:proofErr w:type="spellStart"/>
            <w:r>
              <w:rPr>
                <w:color w:val="2D2D2D"/>
                <w:sz w:val="17"/>
                <w:szCs w:val="17"/>
              </w:rPr>
              <w:t>robo</w:t>
            </w:r>
            <w:proofErr w:type="spellEnd"/>
            <w:r>
              <w:rPr>
                <w:color w:val="2D2D2D"/>
                <w:sz w:val="17"/>
                <w:szCs w:val="17"/>
              </w:rPr>
              <w:t>-advisors or smaller firms for graceful transitions of sub-threshold clients.</w:t>
            </w:r>
          </w:p>
        </w:tc>
      </w:tr>
      <w:tr w:rsidR="00754DF8" w14:paraId="6C2087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12240" w14:textId="77777777" w:rsidR="00754D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BF13A" w14:textId="77777777" w:rsidR="00754DF8" w:rsidRDefault="00000000">
            <w:r>
              <w:rPr>
                <w:b/>
                <w:bCs/>
                <w:color w:val="1B3A5C"/>
                <w:sz w:val="18"/>
                <w:szCs w:val="18"/>
              </w:rPr>
              <w:t>Pricing Psychology</w:t>
            </w:r>
          </w:p>
        </w:tc>
        <w:tc>
          <w:tcPr>
            <w:tcW w:w="66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22133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7"/>
                <w:szCs w:val="17"/>
              </w:rPr>
              <w:t>Unbundle services and reprice individually. Benchmark fees against market data. Build in annual CPI-linked escalators to prevent margin erosion over time.</w:t>
            </w:r>
          </w:p>
        </w:tc>
      </w:tr>
      <w:tr w:rsidR="00754DF8" w14:paraId="644F47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58221" w14:textId="77777777" w:rsidR="00754D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DFE57" w14:textId="77777777" w:rsidR="00754DF8" w:rsidRDefault="00000000">
            <w:r>
              <w:rPr>
                <w:b/>
                <w:bCs/>
                <w:color w:val="1B3A5C"/>
                <w:sz w:val="18"/>
                <w:szCs w:val="18"/>
              </w:rPr>
              <w:t>Portfolio-Level Thinking</w:t>
            </w:r>
          </w:p>
        </w:tc>
        <w:tc>
          <w:tcPr>
            <w:tcW w:w="66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2F49E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7"/>
                <w:szCs w:val="17"/>
              </w:rPr>
              <w:t>Map client networks — some losses fund profitable referrals. Analyse cohort lifetime value (e.g., young professionals). Use sunset clauses for chronically unprofitable accounts.</w:t>
            </w:r>
          </w:p>
        </w:tc>
      </w:tr>
    </w:tbl>
    <w:p w14:paraId="506DA48A" w14:textId="77777777" w:rsidR="00754DF8" w:rsidRDefault="00754DF8">
      <w:pPr>
        <w:spacing w:before="200" w:after="80"/>
      </w:pPr>
    </w:p>
    <w:p w14:paraId="194E1BC0" w14:textId="77777777" w:rsidR="00754DF8" w:rsidRDefault="00000000">
      <w:pPr>
        <w:pStyle w:val="Heading2"/>
      </w:pPr>
      <w:r>
        <w:t>IMPLEMENTATION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760"/>
        <w:gridCol w:w="2800"/>
      </w:tblGrid>
      <w:tr w:rsidR="00754DF8" w14:paraId="7617C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8B5184" w14:textId="77777777" w:rsidR="00754DF8" w:rsidRDefault="00000000">
            <w:r>
              <w:rPr>
                <w:b/>
                <w:bCs/>
                <w:color w:val="FFFFFF"/>
                <w:sz w:val="17"/>
                <w:szCs w:val="17"/>
              </w:rPr>
              <w:t>Timeframe</w:t>
            </w:r>
          </w:p>
        </w:tc>
        <w:tc>
          <w:tcPr>
            <w:tcW w:w="4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31AB5" w14:textId="77777777" w:rsidR="00754DF8" w:rsidRDefault="00000000">
            <w:r>
              <w:rPr>
                <w:b/>
                <w:bCs/>
                <w:color w:val="FFFFFF"/>
                <w:sz w:val="17"/>
                <w:szCs w:val="17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45EDC" w14:textId="77777777" w:rsidR="00754DF8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Impact</w:t>
            </w:r>
          </w:p>
        </w:tc>
      </w:tr>
      <w:tr w:rsidR="00754DF8" w14:paraId="45852C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1EDCF" w14:textId="77777777" w:rsidR="00754DF8" w:rsidRDefault="00000000">
            <w:r>
              <w:rPr>
                <w:color w:val="2D2D2D"/>
                <w:sz w:val="16"/>
                <w:szCs w:val="16"/>
              </w:rPr>
              <w:t>0 – 3 months</w:t>
            </w:r>
          </w:p>
        </w:tc>
        <w:tc>
          <w:tcPr>
            <w:tcW w:w="4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CD32D" w14:textId="77777777" w:rsidR="00754DF8" w:rsidRDefault="00000000">
            <w:r>
              <w:rPr>
                <w:color w:val="2D2D2D"/>
                <w:sz w:val="16"/>
                <w:szCs w:val="16"/>
              </w:rPr>
              <w:t>Digital migration of routine tasks; cross-sell audit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E28F0" w14:textId="77777777" w:rsidR="00754DF8" w:rsidRDefault="00000000">
            <w:r>
              <w:rPr>
                <w:color w:val="2D2D2D"/>
                <w:sz w:val="16"/>
                <w:szCs w:val="16"/>
              </w:rPr>
              <w:t>Cost reduction + revenue uplift</w:t>
            </w:r>
          </w:p>
        </w:tc>
      </w:tr>
      <w:tr w:rsidR="00754DF8" w14:paraId="743015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9C009" w14:textId="77777777" w:rsidR="00754DF8" w:rsidRDefault="00000000">
            <w:r>
              <w:rPr>
                <w:color w:val="2D2D2D"/>
                <w:sz w:val="16"/>
                <w:szCs w:val="16"/>
              </w:rPr>
              <w:t>3 – 6 months</w:t>
            </w:r>
          </w:p>
        </w:tc>
        <w:tc>
          <w:tcPr>
            <w:tcW w:w="4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8EB52" w14:textId="77777777" w:rsidR="00754DF8" w:rsidRDefault="00000000">
            <w:r>
              <w:rPr>
                <w:color w:val="2D2D2D"/>
                <w:sz w:val="16"/>
                <w:szCs w:val="16"/>
              </w:rPr>
              <w:t>Introduce minimum fees and new service tiers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8584B" w14:textId="77777777" w:rsidR="00754DF8" w:rsidRDefault="00000000">
            <w:r>
              <w:rPr>
                <w:color w:val="2D2D2D"/>
                <w:sz w:val="16"/>
                <w:szCs w:val="16"/>
              </w:rPr>
              <w:t>Margin floor established</w:t>
            </w:r>
          </w:p>
        </w:tc>
      </w:tr>
      <w:tr w:rsidR="00754DF8" w14:paraId="607D0F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B4622" w14:textId="77777777" w:rsidR="00754DF8" w:rsidRDefault="00000000">
            <w:r>
              <w:rPr>
                <w:color w:val="2D2D2D"/>
                <w:sz w:val="16"/>
                <w:szCs w:val="16"/>
              </w:rPr>
              <w:t>6 – 12 months</w:t>
            </w:r>
          </w:p>
        </w:tc>
        <w:tc>
          <w:tcPr>
            <w:tcW w:w="4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E6E21" w14:textId="77777777" w:rsidR="00754DF8" w:rsidRDefault="00000000">
            <w:r>
              <w:rPr>
                <w:color w:val="2D2D2D"/>
                <w:sz w:val="16"/>
                <w:szCs w:val="16"/>
              </w:rPr>
              <w:t>Asset consolidation campaign; life-event targeting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3B17F" w14:textId="77777777" w:rsidR="00754DF8" w:rsidRDefault="00000000">
            <w:r>
              <w:rPr>
                <w:color w:val="2D2D2D"/>
                <w:sz w:val="16"/>
                <w:szCs w:val="16"/>
              </w:rPr>
              <w:t>AUM growth per client</w:t>
            </w:r>
          </w:p>
        </w:tc>
      </w:tr>
      <w:tr w:rsidR="00754DF8" w14:paraId="51F11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D7142A" w14:textId="77777777" w:rsidR="00754DF8" w:rsidRDefault="00000000">
            <w:r>
              <w:rPr>
                <w:color w:val="2D2D2D"/>
                <w:sz w:val="16"/>
                <w:szCs w:val="16"/>
              </w:rPr>
              <w:t>12+ months</w:t>
            </w:r>
          </w:p>
        </w:tc>
        <w:tc>
          <w:tcPr>
            <w:tcW w:w="4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D588A" w14:textId="77777777" w:rsidR="00754DF8" w:rsidRDefault="00000000">
            <w:r>
              <w:rPr>
                <w:color w:val="2D2D2D"/>
                <w:sz w:val="16"/>
                <w:szCs w:val="16"/>
              </w:rPr>
              <w:t>Strategic exits and partner referral programme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A7256" w14:textId="77777777" w:rsidR="00754DF8" w:rsidRDefault="00000000">
            <w:r>
              <w:rPr>
                <w:color w:val="2D2D2D"/>
                <w:sz w:val="16"/>
                <w:szCs w:val="16"/>
              </w:rPr>
              <w:t>Portfolio-wide margin improvement</w:t>
            </w:r>
          </w:p>
        </w:tc>
      </w:tr>
    </w:tbl>
    <w:p w14:paraId="29E59447" w14:textId="77777777" w:rsidR="00754DF8" w:rsidRDefault="00754DF8">
      <w:pPr>
        <w:spacing w:before="200" w:after="8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754DF8" w14:paraId="58B9B98D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single" w:sz="4" w:space="0" w:color="1B3A5C"/>
              <w:left w:val="single" w:sz="12" w:space="0" w:color="1B3A5C"/>
              <w:bottom w:val="single" w:sz="4" w:space="0" w:color="1B3A5C"/>
              <w:right w:val="single" w:sz="4" w:space="0" w:color="1B3A5C"/>
            </w:tcBorders>
            <w:shd w:val="clear" w:color="auto" w:fill="EAF0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763E8F" w14:textId="77777777" w:rsidR="00754DF8" w:rsidRDefault="00000000">
            <w:pPr>
              <w:spacing w:after="60"/>
            </w:pPr>
            <w:r>
              <w:rPr>
                <w:b/>
                <w:bCs/>
                <w:color w:val="1B3A5C"/>
                <w:sz w:val="20"/>
                <w:szCs w:val="20"/>
              </w:rPr>
              <w:t>RECOMMENDED NEXT STEP</w:t>
            </w:r>
          </w:p>
          <w:p w14:paraId="3E4ADAD4" w14:textId="77777777" w:rsidR="00754DF8" w:rsidRDefault="00000000">
            <w:pPr>
              <w:spacing w:line="260" w:lineRule="auto"/>
            </w:pPr>
            <w:r>
              <w:rPr>
                <w:color w:val="2D2D2D"/>
                <w:sz w:val="18"/>
                <w:szCs w:val="18"/>
              </w:rPr>
              <w:t>Conduct a full profitability segmentation of the FA book (cost-to-serve vs. revenue per client). This will quantify the margin gap, identify the highest-impact lever for each client cluster, and build the business case for phased implementation. Recommend scheduling a working session to align on segmentation criteria and prioritisation.</w:t>
            </w:r>
          </w:p>
        </w:tc>
      </w:tr>
    </w:tbl>
    <w:p w14:paraId="68103B73" w14:textId="77777777" w:rsidR="00F32086" w:rsidRDefault="00F32086"/>
    <w:sectPr w:rsidR="00F3208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5B47" w14:textId="77777777" w:rsidR="00F32086" w:rsidRDefault="00F32086">
      <w:r>
        <w:separator/>
      </w:r>
    </w:p>
  </w:endnote>
  <w:endnote w:type="continuationSeparator" w:id="0">
    <w:p w14:paraId="035934AC" w14:textId="77777777" w:rsidR="00F32086" w:rsidRDefault="00F3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1397" w14:textId="77777777" w:rsidR="00754DF8" w:rsidRDefault="00000000">
    <w:pPr>
      <w:pBdr>
        <w:top w:val="single" w:sz="4" w:space="4" w:color="B0C4D8"/>
      </w:pBdr>
      <w:tabs>
        <w:tab w:val="right" w:pos="9026"/>
      </w:tabs>
    </w:pPr>
    <w:r>
      <w:rPr>
        <w:color w:val="999999"/>
        <w:sz w:val="14"/>
        <w:szCs w:val="14"/>
      </w:rPr>
      <w:t>Prepared for Senior Executive Review</w:t>
    </w:r>
    <w:r>
      <w:tab/>
    </w:r>
    <w:r>
      <w:rPr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001449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52B0C" w14:textId="77777777" w:rsidR="00F32086" w:rsidRDefault="00F32086">
      <w:r>
        <w:separator/>
      </w:r>
    </w:p>
  </w:footnote>
  <w:footnote w:type="continuationSeparator" w:id="0">
    <w:p w14:paraId="10BF1431" w14:textId="77777777" w:rsidR="00F32086" w:rsidRDefault="00F32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0A56" w14:textId="77777777" w:rsidR="00754DF8" w:rsidRDefault="00000000">
    <w:pPr>
      <w:pBdr>
        <w:bottom w:val="single" w:sz="6" w:space="4" w:color="2A8F8F"/>
      </w:pBdr>
      <w:tabs>
        <w:tab w:val="right" w:pos="9026"/>
      </w:tabs>
    </w:pPr>
    <w:r>
      <w:rPr>
        <w:b/>
        <w:bCs/>
        <w:color w:val="2A8F8F"/>
        <w:sz w:val="16"/>
        <w:szCs w:val="16"/>
      </w:rPr>
      <w:t>CONFIDENTIAL</w:t>
    </w:r>
    <w:r>
      <w:tab/>
    </w:r>
    <w:r>
      <w:rPr>
        <w:color w:val="888888"/>
        <w:sz w:val="16"/>
        <w:szCs w:val="16"/>
      </w:rPr>
      <w:t>Financial Advisory – Client Profitability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97333"/>
    <w:multiLevelType w:val="hybridMultilevel"/>
    <w:tmpl w:val="430C9EEE"/>
    <w:lvl w:ilvl="0" w:tplc="88B89688">
      <w:start w:val="1"/>
      <w:numFmt w:val="bullet"/>
      <w:lvlText w:val="●"/>
      <w:lvlJc w:val="left"/>
      <w:pPr>
        <w:ind w:left="720" w:hanging="360"/>
      </w:pPr>
    </w:lvl>
    <w:lvl w:ilvl="1" w:tplc="603EC576">
      <w:start w:val="1"/>
      <w:numFmt w:val="bullet"/>
      <w:lvlText w:val="○"/>
      <w:lvlJc w:val="left"/>
      <w:pPr>
        <w:ind w:left="1440" w:hanging="360"/>
      </w:pPr>
    </w:lvl>
    <w:lvl w:ilvl="2" w:tplc="F092C844">
      <w:start w:val="1"/>
      <w:numFmt w:val="bullet"/>
      <w:lvlText w:val="■"/>
      <w:lvlJc w:val="left"/>
      <w:pPr>
        <w:ind w:left="2160" w:hanging="360"/>
      </w:pPr>
    </w:lvl>
    <w:lvl w:ilvl="3" w:tplc="84D6721C">
      <w:start w:val="1"/>
      <w:numFmt w:val="bullet"/>
      <w:lvlText w:val="●"/>
      <w:lvlJc w:val="left"/>
      <w:pPr>
        <w:ind w:left="2880" w:hanging="360"/>
      </w:pPr>
    </w:lvl>
    <w:lvl w:ilvl="4" w:tplc="FCD621DA">
      <w:start w:val="1"/>
      <w:numFmt w:val="bullet"/>
      <w:lvlText w:val="○"/>
      <w:lvlJc w:val="left"/>
      <w:pPr>
        <w:ind w:left="3600" w:hanging="360"/>
      </w:pPr>
    </w:lvl>
    <w:lvl w:ilvl="5" w:tplc="223A85F2">
      <w:start w:val="1"/>
      <w:numFmt w:val="bullet"/>
      <w:lvlText w:val="■"/>
      <w:lvlJc w:val="left"/>
      <w:pPr>
        <w:ind w:left="4320" w:hanging="360"/>
      </w:pPr>
    </w:lvl>
    <w:lvl w:ilvl="6" w:tplc="F42A8EDE">
      <w:start w:val="1"/>
      <w:numFmt w:val="bullet"/>
      <w:lvlText w:val="●"/>
      <w:lvlJc w:val="left"/>
      <w:pPr>
        <w:ind w:left="5040" w:hanging="360"/>
      </w:pPr>
    </w:lvl>
    <w:lvl w:ilvl="7" w:tplc="6AA8506C">
      <w:start w:val="1"/>
      <w:numFmt w:val="bullet"/>
      <w:lvlText w:val="●"/>
      <w:lvlJc w:val="left"/>
      <w:pPr>
        <w:ind w:left="5760" w:hanging="360"/>
      </w:pPr>
    </w:lvl>
    <w:lvl w:ilvl="8" w:tplc="BDD88B48">
      <w:start w:val="1"/>
      <w:numFmt w:val="bullet"/>
      <w:lvlText w:val="●"/>
      <w:lvlJc w:val="left"/>
      <w:pPr>
        <w:ind w:left="6480" w:hanging="360"/>
      </w:pPr>
    </w:lvl>
  </w:abstractNum>
  <w:num w:numId="1" w16cid:durableId="11325532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DF8"/>
    <w:rsid w:val="00001449"/>
    <w:rsid w:val="007213D6"/>
    <w:rsid w:val="00754DF8"/>
    <w:rsid w:val="00F3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73AC"/>
  <w15:docId w15:val="{A1A76126-5980-4F6E-B9DF-30F0FF07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A8F8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Boyce</cp:lastModifiedBy>
  <cp:revision>2</cp:revision>
  <dcterms:created xsi:type="dcterms:W3CDTF">2026-03-11T08:54:00Z</dcterms:created>
  <dcterms:modified xsi:type="dcterms:W3CDTF">2026-03-11T08:54:00Z</dcterms:modified>
</cp:coreProperties>
</file>