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7009A" w14:textId="18AB48B0" w:rsidR="00A44588" w:rsidRDefault="00A44588" w:rsidP="00A44588">
      <w:pPr>
        <w:rPr>
          <w:lang w:val="en-US"/>
        </w:rPr>
      </w:pPr>
      <w:r w:rsidRPr="00DA7122">
        <w:rPr>
          <w:b/>
          <w:bCs/>
          <w:sz w:val="32"/>
          <w:szCs w:val="32"/>
          <w:lang w:val="en-US"/>
        </w:rPr>
        <w:t>CPI</w:t>
      </w:r>
      <w:r>
        <w:rPr>
          <w:lang w:val="en-US"/>
        </w:rPr>
        <w:t xml:space="preserve">  </w:t>
      </w:r>
      <w:hyperlink r:id="rId5" w:anchor="0" w:history="1">
        <w:r w:rsidRPr="000B7F16">
          <w:rPr>
            <w:rStyle w:val="Hyperlink"/>
            <w:lang w:val="en-US"/>
          </w:rPr>
          <w:t>https://fred.stlouisfed.org/series/MEDCPIM094SFRBCLE#0</w:t>
        </w:r>
      </w:hyperlink>
      <w:r>
        <w:rPr>
          <w:lang w:val="en-US"/>
        </w:rPr>
        <w:t xml:space="preserve">   </w:t>
      </w:r>
    </w:p>
    <w:p w14:paraId="607EFF04" w14:textId="77777777" w:rsidR="00A44588" w:rsidRDefault="00A44588" w:rsidP="00A44588">
      <w:pPr>
        <w:rPr>
          <w:lang w:val="en-US"/>
        </w:rPr>
      </w:pPr>
      <w:r w:rsidRPr="002349CF">
        <w:t>Index Dec</w:t>
      </w:r>
      <w:r>
        <w:t xml:space="preserve"> </w:t>
      </w:r>
      <w:r w:rsidRPr="002349CF">
        <w:t>1982=100,Seasonally Adjusted</w:t>
      </w:r>
    </w:p>
    <w:p w14:paraId="59C9508A" w14:textId="77777777" w:rsidR="00A44588" w:rsidRDefault="00A44588" w:rsidP="00A44588">
      <w:pPr>
        <w:rPr>
          <w:rFonts w:asciiTheme="majorHAnsi" w:hAnsiTheme="majorHAnsi" w:cstheme="majorHAnsi"/>
          <w:color w:val="333333"/>
          <w:shd w:val="clear" w:color="auto" w:fill="FFFFFF"/>
        </w:rPr>
      </w:pPr>
    </w:p>
    <w:p w14:paraId="4B9D6153" w14:textId="289C9902" w:rsidR="00194FE3" w:rsidRDefault="009D71AA" w:rsidP="00194FE3">
      <w:r w:rsidRPr="009D71AA">
        <w:rPr>
          <w:b/>
          <w:bCs/>
          <w:sz w:val="32"/>
          <w:szCs w:val="32"/>
          <w:lang w:val="en-US"/>
        </w:rPr>
        <w:t>F</w:t>
      </w:r>
      <w:r w:rsidR="00A44588" w:rsidRPr="009D71AA">
        <w:rPr>
          <w:b/>
          <w:bCs/>
          <w:sz w:val="32"/>
          <w:szCs w:val="32"/>
          <w:lang w:val="en-US"/>
        </w:rPr>
        <w:t>ed Funds Effective Rate (FEDFUNDS)</w:t>
      </w:r>
      <w:r w:rsidR="00194FE3" w:rsidRPr="009D71AA">
        <w:rPr>
          <w:b/>
          <w:bCs/>
          <w:sz w:val="32"/>
          <w:szCs w:val="32"/>
          <w:lang w:val="en-US"/>
        </w:rPr>
        <w:t xml:space="preserve"> </w:t>
      </w:r>
      <w:hyperlink r:id="rId6" w:anchor="0" w:history="1">
        <w:r w:rsidR="00194FE3" w:rsidRPr="000B7F16">
          <w:rPr>
            <w:rStyle w:val="Hyperlink"/>
          </w:rPr>
          <w:t>https://fred.stlouisfed.org/series/FEDFUNDS#0</w:t>
        </w:r>
      </w:hyperlink>
      <w:r w:rsidR="00194FE3">
        <w:t xml:space="preserve"> </w:t>
      </w:r>
    </w:p>
    <w:p w14:paraId="2F476870" w14:textId="77777777" w:rsidR="00A44588" w:rsidRDefault="00A44588" w:rsidP="00A44588"/>
    <w:p w14:paraId="3B3C8648" w14:textId="752D3258" w:rsidR="00A44588" w:rsidRPr="00AB08E6" w:rsidRDefault="00A44588" w:rsidP="00A44588">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1AA">
        <w:rPr>
          <w:b/>
          <w:bCs/>
          <w:sz w:val="32"/>
          <w:szCs w:val="32"/>
          <w:lang w:val="en-US"/>
        </w:rPr>
        <w:t>POPULATION -</w:t>
      </w:r>
      <w:r w:rsidR="009D71AA" w:rsidRPr="009D71A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71A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9D71AA" w:rsidRPr="00AF106B">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https://fred.stlo</w:t>
        </w:r>
        <w:r w:rsidR="009D71AA" w:rsidRPr="00AF106B">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9D71AA" w:rsidRPr="00AF106B">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isfed.org/series/POPTHM#0</w:t>
        </w:r>
      </w:hyperlink>
      <w:r w:rsidR="009D71A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539EE1" w14:textId="77777777" w:rsidR="00A44588" w:rsidRDefault="00A44588" w:rsidP="00A44588"/>
    <w:p w14:paraId="5F030AFB" w14:textId="7E01E69D" w:rsidR="00A44588" w:rsidRDefault="00AB08E6" w:rsidP="00A44588">
      <w:r w:rsidRPr="00AB08E6">
        <w:rPr>
          <w:b/>
          <w:bCs/>
          <w:sz w:val="32"/>
          <w:szCs w:val="32"/>
          <w:lang w:val="en-US"/>
        </w:rPr>
        <w:t>Employment Rates-</w:t>
      </w:r>
      <w:r>
        <w:t xml:space="preserve"> </w:t>
      </w:r>
      <w:hyperlink r:id="rId8" w:history="1">
        <w:r w:rsidRPr="00AF106B">
          <w:rPr>
            <w:rStyle w:val="Hyperlink"/>
          </w:rPr>
          <w:t>https://fred.stlouisfed.org/series/LREM64TTUSM156S</w:t>
        </w:r>
      </w:hyperlink>
      <w:r>
        <w:t xml:space="preserve">  </w:t>
      </w:r>
    </w:p>
    <w:p w14:paraId="210AC706" w14:textId="77777777" w:rsidR="00AB08E6" w:rsidRDefault="00AB08E6" w:rsidP="00A44588"/>
    <w:p w14:paraId="0D1C5777" w14:textId="358202A1" w:rsidR="009D71AA" w:rsidRDefault="00A44588" w:rsidP="00A44588">
      <w:r w:rsidRPr="00AB08E6">
        <w:rPr>
          <w:b/>
          <w:bCs/>
          <w:sz w:val="32"/>
          <w:szCs w:val="32"/>
          <w:lang w:val="en-US"/>
        </w:rPr>
        <w:t>Mortgage Rates-</w:t>
      </w:r>
      <w:r w:rsidR="009D71AA">
        <w:t xml:space="preserve"> </w:t>
      </w:r>
      <w:hyperlink r:id="rId9" w:anchor="0" w:history="1">
        <w:r w:rsidR="009D71AA" w:rsidRPr="00EC77B0">
          <w:rPr>
            <w:rStyle w:val="Hyperlink"/>
          </w:rPr>
          <w:t>https://fred.stlouisfed.org/series/MORTGAGE30US#0</w:t>
        </w:r>
      </w:hyperlink>
      <w:r w:rsidR="009D71AA">
        <w:t xml:space="preserve"> </w:t>
      </w:r>
      <w:r w:rsidR="009D71AA">
        <w:t xml:space="preserve"> </w:t>
      </w:r>
    </w:p>
    <w:p w14:paraId="507C9F24" w14:textId="1C7AB8FB" w:rsidR="00A44588" w:rsidRDefault="00A44588" w:rsidP="00A44588"/>
    <w:p w14:paraId="57F2054A" w14:textId="77777777" w:rsidR="00A44588" w:rsidRDefault="00A44588" w:rsidP="00A44588"/>
    <w:p w14:paraId="1C038506" w14:textId="7C808F1C" w:rsidR="00AB08E6" w:rsidRPr="00AB08E6" w:rsidRDefault="00A44588" w:rsidP="00A44588">
      <w:pPr>
        <w:rPr>
          <w:b/>
          <w:bCs/>
          <w:sz w:val="32"/>
          <w:szCs w:val="32"/>
          <w:lang w:val="en-US"/>
        </w:rPr>
      </w:pPr>
      <w:r w:rsidRPr="00AB08E6">
        <w:rPr>
          <w:b/>
          <w:bCs/>
          <w:sz w:val="32"/>
          <w:szCs w:val="32"/>
          <w:lang w:val="en-US"/>
        </w:rPr>
        <w:t xml:space="preserve">Houses Bought and Sold at the end of every </w:t>
      </w:r>
      <w:r w:rsidR="00AB08E6" w:rsidRPr="00AB08E6">
        <w:rPr>
          <w:b/>
          <w:bCs/>
          <w:sz w:val="32"/>
          <w:szCs w:val="32"/>
          <w:lang w:val="en-US"/>
        </w:rPr>
        <w:t>year</w:t>
      </w:r>
    </w:p>
    <w:p w14:paraId="38783CB6" w14:textId="73897B33" w:rsidR="00A44588" w:rsidRDefault="00000000" w:rsidP="005C2EF5">
      <w:pPr>
        <w:rPr>
          <w:rStyle w:val="Hyperlink"/>
        </w:rPr>
      </w:pPr>
      <w:hyperlink r:id="rId10" w:history="1">
        <w:r w:rsidR="00A44588" w:rsidRPr="00EC77B0">
          <w:rPr>
            <w:rStyle w:val="Hyperlink"/>
          </w:rPr>
          <w:t>https://www.census.gov/construction/nrs/historical_data/index.html</w:t>
        </w:r>
      </w:hyperlink>
    </w:p>
    <w:p w14:paraId="11726C62" w14:textId="77777777" w:rsidR="00AB08E6" w:rsidRDefault="00AB08E6" w:rsidP="005C2EF5">
      <w:pPr>
        <w:rPr>
          <w:rStyle w:val="Hyperlink"/>
        </w:rPr>
      </w:pPr>
    </w:p>
    <w:p w14:paraId="46168AA0" w14:textId="7044582B" w:rsidR="00AB08E6" w:rsidRPr="00AB08E6" w:rsidRDefault="00AB08E6" w:rsidP="005C2EF5">
      <w:r w:rsidRPr="00AB08E6">
        <w:rPr>
          <w:b/>
          <w:bCs/>
          <w:sz w:val="32"/>
          <w:szCs w:val="32"/>
          <w:lang w:val="en-US"/>
        </w:rPr>
        <w:t>Unemployment Rates</w:t>
      </w:r>
      <w:r>
        <w:t xml:space="preserve"> </w:t>
      </w:r>
      <w:hyperlink r:id="rId11" w:history="1">
        <w:r w:rsidRPr="00AF106B">
          <w:rPr>
            <w:rStyle w:val="Hyperlink"/>
          </w:rPr>
          <w:t>https://fred.stlouisfed.org/series/LNS14000024</w:t>
        </w:r>
      </w:hyperlink>
      <w:r>
        <w:t xml:space="preserve"> </w:t>
      </w:r>
    </w:p>
    <w:p w14:paraId="628D82CB" w14:textId="77777777" w:rsidR="005C2EF5" w:rsidRDefault="005C2EF5" w:rsidP="005C2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B8E07" w14:textId="3739E26D" w:rsidR="002754C4" w:rsidRDefault="002754C4" w:rsidP="005C2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4C4">
        <w:rPr>
          <w:b/>
          <w:bCs/>
          <w:sz w:val="32"/>
          <w:szCs w:val="32"/>
          <w:lang w:val="en-US"/>
        </w:rPr>
        <w:t>Median CPI</w:t>
      </w:r>
      <w:r>
        <w:rPr>
          <w:b/>
          <w:bCs/>
          <w:sz w:val="32"/>
          <w:szCs w:val="32"/>
          <w:lang w:val="en-US"/>
        </w:rPr>
        <w:t xml:space="preserve">   </w:t>
      </w:r>
      <w:hyperlink r:id="rId12" w:history="1">
        <w:r w:rsidRPr="00AF106B">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https://fred.stlouisfed.org/series/MEDCPIM158SFRBCLE</w:t>
        </w:r>
      </w:hyperlink>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D529EE" w14:textId="77777777" w:rsidR="002754C4" w:rsidRDefault="002754C4" w:rsidP="005C2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A5743" w14:textId="15BE2E38" w:rsidR="002754C4" w:rsidRDefault="002754C4" w:rsidP="005C2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4C4">
        <w:rPr>
          <w:b/>
          <w:bCs/>
          <w:sz w:val="32"/>
          <w:szCs w:val="32"/>
          <w:lang w:val="en-US"/>
        </w:rPr>
        <w:t>Disposable Income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history="1">
        <w:r w:rsidRPr="00AF106B">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https://fred.stlouisfed.org/series/DSPI</w:t>
        </w:r>
      </w:hyperlink>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368C3F" w14:textId="77777777" w:rsidR="005C2EF5" w:rsidRDefault="005C2EF5" w:rsidP="005C2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5EEA75" w14:textId="77777777" w:rsidR="005C2EF5" w:rsidRDefault="005C2EF5" w:rsidP="001C325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306C8" w14:textId="77777777" w:rsidR="005C2EF5" w:rsidRDefault="005C2EF5" w:rsidP="001C325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64FEF" w14:textId="505547DF" w:rsidR="00AE1C34" w:rsidRPr="00AE1C34" w:rsidRDefault="00AE1C34" w:rsidP="001C325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1C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r w:rsidR="000C572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Summary</w:t>
      </w:r>
    </w:p>
    <w:p w14:paraId="3AD01E7D" w14:textId="21AAF40F" w:rsidR="00AE1C34" w:rsidRPr="00AE1C34" w:rsidRDefault="00AE1C34" w:rsidP="001C325C">
      <w:pPr>
        <w:jc w:val="center"/>
        <w:rPr>
          <w:lang w:val="en-US"/>
        </w:rPr>
      </w:pPr>
    </w:p>
    <w:p w14:paraId="1FF52520" w14:textId="77777777" w:rsidR="00AE1C34" w:rsidRDefault="00AE1C34" w:rsidP="001C325C">
      <w:pPr>
        <w:pStyle w:val="ListParagraph"/>
        <w:jc w:val="center"/>
        <w:rPr>
          <w:lang w:val="en-US"/>
        </w:rPr>
      </w:pPr>
    </w:p>
    <w:tbl>
      <w:tblPr>
        <w:tblStyle w:val="TableGrid"/>
        <w:tblW w:w="0" w:type="auto"/>
        <w:tblInd w:w="720" w:type="dxa"/>
        <w:tblLook w:val="04A0" w:firstRow="1" w:lastRow="0" w:firstColumn="1" w:lastColumn="0" w:noHBand="0" w:noVBand="1"/>
      </w:tblPr>
      <w:tblGrid>
        <w:gridCol w:w="2176"/>
        <w:gridCol w:w="2075"/>
        <w:gridCol w:w="2099"/>
      </w:tblGrid>
      <w:tr w:rsidR="00AE1C34" w14:paraId="235A6A1D" w14:textId="77777777" w:rsidTr="00AE1C34">
        <w:tc>
          <w:tcPr>
            <w:tcW w:w="2176" w:type="dxa"/>
          </w:tcPr>
          <w:p w14:paraId="6ECF7F6F" w14:textId="77777777" w:rsidR="001C325C" w:rsidRDefault="001C325C" w:rsidP="001C325C">
            <w:pPr>
              <w:pStyle w:val="ListParagraph"/>
              <w:ind w:left="0"/>
              <w:jc w:val="center"/>
              <w:rPr>
                <w:lang w:val="en-US"/>
              </w:rPr>
            </w:pPr>
            <w:r>
              <w:rPr>
                <w:lang w:val="en-US"/>
              </w:rPr>
              <w:t>Input</w:t>
            </w:r>
          </w:p>
          <w:p w14:paraId="3FFE7CFE" w14:textId="2958A622" w:rsidR="00AE1C34" w:rsidRDefault="00AE1C34" w:rsidP="001C325C">
            <w:pPr>
              <w:pStyle w:val="ListParagraph"/>
              <w:ind w:left="0"/>
              <w:jc w:val="center"/>
              <w:rPr>
                <w:lang w:val="en-US"/>
              </w:rPr>
            </w:pPr>
            <w:r>
              <w:rPr>
                <w:lang w:val="en-US"/>
              </w:rPr>
              <w:t>Parameter</w:t>
            </w:r>
            <w:r w:rsidR="001C325C">
              <w:rPr>
                <w:lang w:val="en-US"/>
              </w:rPr>
              <w:t>s</w:t>
            </w:r>
          </w:p>
        </w:tc>
        <w:tc>
          <w:tcPr>
            <w:tcW w:w="2075" w:type="dxa"/>
          </w:tcPr>
          <w:p w14:paraId="210E04E0" w14:textId="5C4D29C6" w:rsidR="00AE1C34" w:rsidRDefault="0038151A" w:rsidP="001C325C">
            <w:pPr>
              <w:pStyle w:val="ListParagraph"/>
              <w:ind w:left="0"/>
              <w:jc w:val="center"/>
              <w:rPr>
                <w:lang w:val="en-US"/>
              </w:rPr>
            </w:pPr>
            <w:r>
              <w:rPr>
                <w:lang w:val="en-US"/>
              </w:rPr>
              <w:t>Intervals</w:t>
            </w:r>
          </w:p>
        </w:tc>
        <w:tc>
          <w:tcPr>
            <w:tcW w:w="2099" w:type="dxa"/>
          </w:tcPr>
          <w:p w14:paraId="31DDCEBB" w14:textId="37983267" w:rsidR="00AE1C34" w:rsidRDefault="00AE1C34" w:rsidP="001C325C">
            <w:pPr>
              <w:pStyle w:val="ListParagraph"/>
              <w:ind w:left="0"/>
              <w:jc w:val="center"/>
              <w:rPr>
                <w:lang w:val="en-US"/>
              </w:rPr>
            </w:pPr>
            <w:r>
              <w:rPr>
                <w:lang w:val="en-US"/>
              </w:rPr>
              <w:t>Frequency</w:t>
            </w:r>
          </w:p>
        </w:tc>
      </w:tr>
      <w:tr w:rsidR="00AE1C34" w14:paraId="520CDAE9" w14:textId="77777777" w:rsidTr="00AE1C34">
        <w:tc>
          <w:tcPr>
            <w:tcW w:w="2176" w:type="dxa"/>
          </w:tcPr>
          <w:p w14:paraId="5EA5A310" w14:textId="2E864F22" w:rsidR="00AE1C34" w:rsidRDefault="00AE1C34" w:rsidP="001C325C">
            <w:pPr>
              <w:pStyle w:val="ListParagraph"/>
              <w:ind w:left="0"/>
              <w:jc w:val="center"/>
              <w:rPr>
                <w:lang w:val="en-US"/>
              </w:rPr>
            </w:pPr>
            <w:r>
              <w:rPr>
                <w:lang w:val="en-US"/>
              </w:rPr>
              <w:t>Mortgage Rates</w:t>
            </w:r>
          </w:p>
        </w:tc>
        <w:tc>
          <w:tcPr>
            <w:tcW w:w="2075" w:type="dxa"/>
          </w:tcPr>
          <w:p w14:paraId="136D966D" w14:textId="4FCDBA65" w:rsidR="00AE1C34" w:rsidRDefault="00614C74" w:rsidP="001C325C">
            <w:pPr>
              <w:pStyle w:val="ListParagraph"/>
              <w:ind w:left="0"/>
              <w:jc w:val="center"/>
              <w:rPr>
                <w:lang w:val="en-US"/>
              </w:rPr>
            </w:pPr>
            <w:r>
              <w:rPr>
                <w:lang w:val="en-US"/>
              </w:rPr>
              <w:t>Feb’71- Nov’23</w:t>
            </w:r>
          </w:p>
        </w:tc>
        <w:tc>
          <w:tcPr>
            <w:tcW w:w="2099" w:type="dxa"/>
          </w:tcPr>
          <w:p w14:paraId="6E307F81" w14:textId="1ECC0564" w:rsidR="00AE1C34" w:rsidRDefault="00614C74" w:rsidP="001C325C">
            <w:pPr>
              <w:pStyle w:val="ListParagraph"/>
              <w:ind w:left="0"/>
              <w:jc w:val="center"/>
              <w:rPr>
                <w:lang w:val="en-US"/>
              </w:rPr>
            </w:pPr>
            <w:r>
              <w:rPr>
                <w:lang w:val="en-US"/>
              </w:rPr>
              <w:t>Monthly</w:t>
            </w:r>
          </w:p>
        </w:tc>
      </w:tr>
      <w:tr w:rsidR="00AE1C34" w14:paraId="1D5128A4" w14:textId="77777777" w:rsidTr="00AE1C34">
        <w:tc>
          <w:tcPr>
            <w:tcW w:w="2176" w:type="dxa"/>
          </w:tcPr>
          <w:p w14:paraId="5236F25D" w14:textId="652023F8" w:rsidR="00AE1C34" w:rsidRDefault="00AE1C34" w:rsidP="001C325C">
            <w:pPr>
              <w:pStyle w:val="ListParagraph"/>
              <w:ind w:left="0"/>
              <w:jc w:val="center"/>
              <w:rPr>
                <w:lang w:val="en-US"/>
              </w:rPr>
            </w:pPr>
            <w:r>
              <w:rPr>
                <w:lang w:val="en-US"/>
              </w:rPr>
              <w:t>Fed. Funds rates</w:t>
            </w:r>
          </w:p>
        </w:tc>
        <w:tc>
          <w:tcPr>
            <w:tcW w:w="2075" w:type="dxa"/>
          </w:tcPr>
          <w:p w14:paraId="20FCABD5" w14:textId="6C9D6D1A" w:rsidR="00AE1C34" w:rsidRDefault="00614C74" w:rsidP="001C325C">
            <w:pPr>
              <w:pStyle w:val="ListParagraph"/>
              <w:ind w:left="0"/>
              <w:jc w:val="center"/>
              <w:rPr>
                <w:lang w:val="en-US"/>
              </w:rPr>
            </w:pPr>
            <w:r>
              <w:rPr>
                <w:lang w:val="en-US"/>
              </w:rPr>
              <w:t>Jan’54-Nov’23</w:t>
            </w:r>
          </w:p>
        </w:tc>
        <w:tc>
          <w:tcPr>
            <w:tcW w:w="2099" w:type="dxa"/>
          </w:tcPr>
          <w:p w14:paraId="1858E040" w14:textId="00BE7BB8" w:rsidR="00AE1C34" w:rsidRDefault="00614C74" w:rsidP="001C325C">
            <w:pPr>
              <w:pStyle w:val="ListParagraph"/>
              <w:ind w:left="0"/>
              <w:jc w:val="center"/>
              <w:rPr>
                <w:lang w:val="en-US"/>
              </w:rPr>
            </w:pPr>
            <w:r>
              <w:rPr>
                <w:lang w:val="en-US"/>
              </w:rPr>
              <w:t>Monthly</w:t>
            </w:r>
          </w:p>
        </w:tc>
      </w:tr>
      <w:tr w:rsidR="00AE1C34" w14:paraId="51696113" w14:textId="77777777" w:rsidTr="00AE1C34">
        <w:tc>
          <w:tcPr>
            <w:tcW w:w="2176" w:type="dxa"/>
          </w:tcPr>
          <w:p w14:paraId="4D90D5F2" w14:textId="725A1579" w:rsidR="00AE1C34" w:rsidRDefault="00AE1C34" w:rsidP="001C325C">
            <w:pPr>
              <w:pStyle w:val="ListParagraph"/>
              <w:ind w:left="0"/>
              <w:jc w:val="center"/>
              <w:rPr>
                <w:lang w:val="en-US"/>
              </w:rPr>
            </w:pPr>
            <w:r>
              <w:rPr>
                <w:lang w:val="en-US"/>
              </w:rPr>
              <w:t>Employment Rates</w:t>
            </w:r>
          </w:p>
        </w:tc>
        <w:tc>
          <w:tcPr>
            <w:tcW w:w="2075" w:type="dxa"/>
          </w:tcPr>
          <w:p w14:paraId="486C91DC" w14:textId="7F468F02" w:rsidR="00AE1C34" w:rsidRDefault="00556EBD" w:rsidP="001C325C">
            <w:pPr>
              <w:pStyle w:val="ListParagraph"/>
              <w:ind w:left="0"/>
              <w:jc w:val="center"/>
              <w:rPr>
                <w:lang w:val="en-US"/>
              </w:rPr>
            </w:pPr>
            <w:r>
              <w:rPr>
                <w:lang w:val="en-US"/>
              </w:rPr>
              <w:t>Jan’</w:t>
            </w:r>
            <w:r w:rsidR="001C325C">
              <w:rPr>
                <w:lang w:val="en-US"/>
              </w:rPr>
              <w:t>77</w:t>
            </w:r>
            <w:r>
              <w:rPr>
                <w:lang w:val="en-US"/>
              </w:rPr>
              <w:t>-</w:t>
            </w:r>
            <w:r w:rsidR="001C325C">
              <w:rPr>
                <w:lang w:val="en-US"/>
              </w:rPr>
              <w:t>Oct’23</w:t>
            </w:r>
          </w:p>
        </w:tc>
        <w:tc>
          <w:tcPr>
            <w:tcW w:w="2099" w:type="dxa"/>
          </w:tcPr>
          <w:p w14:paraId="082482D0" w14:textId="7DAE1E24" w:rsidR="00AE1C34" w:rsidRDefault="001C325C" w:rsidP="001C325C">
            <w:pPr>
              <w:pStyle w:val="ListParagraph"/>
              <w:ind w:left="0"/>
              <w:jc w:val="center"/>
              <w:rPr>
                <w:lang w:val="en-US"/>
              </w:rPr>
            </w:pPr>
            <w:r>
              <w:rPr>
                <w:lang w:val="en-US"/>
              </w:rPr>
              <w:t>Monthly</w:t>
            </w:r>
          </w:p>
        </w:tc>
      </w:tr>
      <w:tr w:rsidR="00556EBD" w14:paraId="768AA964" w14:textId="77777777" w:rsidTr="00AE1C34">
        <w:tc>
          <w:tcPr>
            <w:tcW w:w="2176" w:type="dxa"/>
          </w:tcPr>
          <w:p w14:paraId="0419B041" w14:textId="4ADE14AA" w:rsidR="00556EBD" w:rsidRDefault="00556EBD" w:rsidP="001C325C">
            <w:pPr>
              <w:pStyle w:val="ListParagraph"/>
              <w:ind w:left="0"/>
              <w:jc w:val="center"/>
              <w:rPr>
                <w:lang w:val="en-US"/>
              </w:rPr>
            </w:pPr>
            <w:proofErr w:type="spellStart"/>
            <w:r>
              <w:rPr>
                <w:lang w:val="en-US"/>
              </w:rPr>
              <w:t>Unemp</w:t>
            </w:r>
            <w:proofErr w:type="spellEnd"/>
            <w:r w:rsidR="001C325C">
              <w:rPr>
                <w:lang w:val="en-US"/>
              </w:rPr>
              <w:t xml:space="preserve">. </w:t>
            </w:r>
            <w:r>
              <w:rPr>
                <w:lang w:val="en-US"/>
              </w:rPr>
              <w:t>Rate</w:t>
            </w:r>
          </w:p>
        </w:tc>
        <w:tc>
          <w:tcPr>
            <w:tcW w:w="2075" w:type="dxa"/>
          </w:tcPr>
          <w:p w14:paraId="688B4EF4" w14:textId="43149FAC" w:rsidR="00556EBD" w:rsidRDefault="00556EBD" w:rsidP="001C325C">
            <w:pPr>
              <w:pStyle w:val="ListParagraph"/>
              <w:ind w:left="0"/>
              <w:jc w:val="center"/>
              <w:rPr>
                <w:lang w:val="en-US"/>
              </w:rPr>
            </w:pPr>
            <w:r>
              <w:rPr>
                <w:lang w:val="en-US"/>
              </w:rPr>
              <w:t>Jan’48-Oct’23</w:t>
            </w:r>
          </w:p>
        </w:tc>
        <w:tc>
          <w:tcPr>
            <w:tcW w:w="2099" w:type="dxa"/>
          </w:tcPr>
          <w:p w14:paraId="4360E053" w14:textId="44CD8B8B" w:rsidR="00556EBD" w:rsidRDefault="001C325C" w:rsidP="001C325C">
            <w:pPr>
              <w:pStyle w:val="ListParagraph"/>
              <w:ind w:left="0"/>
              <w:jc w:val="center"/>
              <w:rPr>
                <w:lang w:val="en-US"/>
              </w:rPr>
            </w:pPr>
            <w:r>
              <w:rPr>
                <w:lang w:val="en-US"/>
              </w:rPr>
              <w:t>Monthly</w:t>
            </w:r>
          </w:p>
        </w:tc>
      </w:tr>
      <w:tr w:rsidR="00556EBD" w14:paraId="6F054049" w14:textId="77777777" w:rsidTr="00AE1C34">
        <w:tc>
          <w:tcPr>
            <w:tcW w:w="2176" w:type="dxa"/>
          </w:tcPr>
          <w:p w14:paraId="42F3CA2D" w14:textId="185854F8" w:rsidR="00556EBD" w:rsidRDefault="00556EBD" w:rsidP="001C325C">
            <w:pPr>
              <w:pStyle w:val="ListParagraph"/>
              <w:ind w:left="0"/>
              <w:jc w:val="center"/>
              <w:rPr>
                <w:lang w:val="en-US"/>
              </w:rPr>
            </w:pPr>
            <w:r>
              <w:rPr>
                <w:lang w:val="en-US"/>
              </w:rPr>
              <w:t>Median CPI</w:t>
            </w:r>
          </w:p>
        </w:tc>
        <w:tc>
          <w:tcPr>
            <w:tcW w:w="2075" w:type="dxa"/>
          </w:tcPr>
          <w:p w14:paraId="1DA00AD3" w14:textId="5AA59496" w:rsidR="00556EBD" w:rsidRDefault="00556EBD" w:rsidP="001C325C">
            <w:pPr>
              <w:pStyle w:val="ListParagraph"/>
              <w:ind w:left="0"/>
              <w:jc w:val="center"/>
              <w:rPr>
                <w:lang w:val="en-US"/>
              </w:rPr>
            </w:pPr>
            <w:r w:rsidRPr="00556EBD">
              <w:t>Jan</w:t>
            </w:r>
            <w:r>
              <w:t>’</w:t>
            </w:r>
            <w:r w:rsidRPr="00556EBD">
              <w:t>83</w:t>
            </w:r>
            <w:r w:rsidR="002873B5">
              <w:t>-</w:t>
            </w:r>
            <w:r w:rsidRPr="00556EBD">
              <w:t>Oct</w:t>
            </w:r>
            <w:r>
              <w:t>’</w:t>
            </w:r>
            <w:r w:rsidRPr="00556EBD">
              <w:t>23</w:t>
            </w:r>
          </w:p>
        </w:tc>
        <w:tc>
          <w:tcPr>
            <w:tcW w:w="2099" w:type="dxa"/>
          </w:tcPr>
          <w:p w14:paraId="1FCBF867" w14:textId="64C28AF2" w:rsidR="00556EBD" w:rsidRDefault="002873B5" w:rsidP="001C325C">
            <w:pPr>
              <w:pStyle w:val="ListParagraph"/>
              <w:ind w:left="0"/>
              <w:jc w:val="center"/>
              <w:rPr>
                <w:lang w:val="en-US"/>
              </w:rPr>
            </w:pPr>
            <w:r>
              <w:rPr>
                <w:lang w:val="en-US"/>
              </w:rPr>
              <w:t>Monthly</w:t>
            </w:r>
          </w:p>
        </w:tc>
      </w:tr>
      <w:tr w:rsidR="00556EBD" w14:paraId="72BE457C" w14:textId="77777777" w:rsidTr="00AE1C34">
        <w:tc>
          <w:tcPr>
            <w:tcW w:w="2176" w:type="dxa"/>
          </w:tcPr>
          <w:p w14:paraId="72BCC10C" w14:textId="1E99B18C" w:rsidR="00556EBD" w:rsidRDefault="00556EBD" w:rsidP="001C325C">
            <w:pPr>
              <w:pStyle w:val="ListParagraph"/>
              <w:ind w:left="0"/>
              <w:jc w:val="center"/>
              <w:rPr>
                <w:lang w:val="en-US"/>
              </w:rPr>
            </w:pPr>
            <w:r>
              <w:rPr>
                <w:lang w:val="en-US"/>
              </w:rPr>
              <w:t>Personal Income</w:t>
            </w:r>
          </w:p>
        </w:tc>
        <w:tc>
          <w:tcPr>
            <w:tcW w:w="2075" w:type="dxa"/>
          </w:tcPr>
          <w:p w14:paraId="4E46E3B7" w14:textId="5EBFDD31" w:rsidR="00556EBD" w:rsidRDefault="002873B5" w:rsidP="001C325C">
            <w:pPr>
              <w:pStyle w:val="ListParagraph"/>
              <w:ind w:left="0"/>
              <w:jc w:val="center"/>
              <w:rPr>
                <w:lang w:val="en-US"/>
              </w:rPr>
            </w:pPr>
            <w:r>
              <w:rPr>
                <w:lang w:val="en-US"/>
              </w:rPr>
              <w:t>Jan’59-Sep’23</w:t>
            </w:r>
          </w:p>
        </w:tc>
        <w:tc>
          <w:tcPr>
            <w:tcW w:w="2099" w:type="dxa"/>
          </w:tcPr>
          <w:p w14:paraId="109AD526" w14:textId="04FC0673" w:rsidR="00556EBD" w:rsidRDefault="002873B5" w:rsidP="001C325C">
            <w:pPr>
              <w:pStyle w:val="ListParagraph"/>
              <w:ind w:left="0"/>
              <w:jc w:val="center"/>
              <w:rPr>
                <w:lang w:val="en-US"/>
              </w:rPr>
            </w:pPr>
            <w:r>
              <w:rPr>
                <w:lang w:val="en-US"/>
              </w:rPr>
              <w:t>Monthly</w:t>
            </w:r>
          </w:p>
        </w:tc>
      </w:tr>
      <w:tr w:rsidR="00556EBD" w14:paraId="061F7117" w14:textId="77777777" w:rsidTr="00AE1C34">
        <w:tc>
          <w:tcPr>
            <w:tcW w:w="2176" w:type="dxa"/>
          </w:tcPr>
          <w:p w14:paraId="087C9EAF" w14:textId="6578474B" w:rsidR="00556EBD" w:rsidRDefault="00556EBD" w:rsidP="001C325C">
            <w:pPr>
              <w:pStyle w:val="ListParagraph"/>
              <w:ind w:left="0"/>
              <w:jc w:val="center"/>
              <w:rPr>
                <w:lang w:val="en-US"/>
              </w:rPr>
            </w:pPr>
            <w:r>
              <w:rPr>
                <w:lang w:val="en-US"/>
              </w:rPr>
              <w:t>Houses Sold at EOM</w:t>
            </w:r>
          </w:p>
        </w:tc>
        <w:tc>
          <w:tcPr>
            <w:tcW w:w="2075" w:type="dxa"/>
          </w:tcPr>
          <w:p w14:paraId="2FE06423" w14:textId="490068CD" w:rsidR="00556EBD" w:rsidRDefault="000C572D" w:rsidP="001C325C">
            <w:pPr>
              <w:pStyle w:val="ListParagraph"/>
              <w:ind w:left="0"/>
              <w:jc w:val="center"/>
              <w:rPr>
                <w:lang w:val="en-US"/>
              </w:rPr>
            </w:pPr>
            <w:r>
              <w:rPr>
                <w:lang w:val="en-US"/>
              </w:rPr>
              <w:t>Jan’63-Oct’23</w:t>
            </w:r>
          </w:p>
        </w:tc>
        <w:tc>
          <w:tcPr>
            <w:tcW w:w="2099" w:type="dxa"/>
          </w:tcPr>
          <w:p w14:paraId="4E6E4DE8" w14:textId="3FA0964A" w:rsidR="00556EBD" w:rsidRDefault="000C572D" w:rsidP="001C325C">
            <w:pPr>
              <w:pStyle w:val="ListParagraph"/>
              <w:ind w:left="0"/>
              <w:jc w:val="center"/>
              <w:rPr>
                <w:lang w:val="en-US"/>
              </w:rPr>
            </w:pPr>
            <w:r>
              <w:rPr>
                <w:lang w:val="en-US"/>
              </w:rPr>
              <w:t>Monthly</w:t>
            </w:r>
          </w:p>
        </w:tc>
      </w:tr>
      <w:tr w:rsidR="00556EBD" w14:paraId="52007549" w14:textId="77777777" w:rsidTr="00AE1C34">
        <w:tc>
          <w:tcPr>
            <w:tcW w:w="2176" w:type="dxa"/>
          </w:tcPr>
          <w:p w14:paraId="7F422770" w14:textId="7636C78A" w:rsidR="00556EBD" w:rsidRDefault="00556EBD" w:rsidP="001C325C">
            <w:pPr>
              <w:pStyle w:val="ListParagraph"/>
              <w:ind w:left="0"/>
              <w:jc w:val="center"/>
              <w:rPr>
                <w:lang w:val="en-US"/>
              </w:rPr>
            </w:pPr>
            <w:r>
              <w:rPr>
                <w:lang w:val="en-US"/>
              </w:rPr>
              <w:t>Houses for Sale at EOM</w:t>
            </w:r>
          </w:p>
        </w:tc>
        <w:tc>
          <w:tcPr>
            <w:tcW w:w="2075" w:type="dxa"/>
          </w:tcPr>
          <w:p w14:paraId="27EFFAB6" w14:textId="67A0AA7A" w:rsidR="00556EBD" w:rsidRDefault="000C572D" w:rsidP="001C325C">
            <w:pPr>
              <w:pStyle w:val="ListParagraph"/>
              <w:ind w:left="0"/>
              <w:jc w:val="center"/>
              <w:rPr>
                <w:lang w:val="en-US"/>
              </w:rPr>
            </w:pPr>
            <w:r>
              <w:rPr>
                <w:lang w:val="en-US"/>
              </w:rPr>
              <w:t>Jan’63-Oct’23</w:t>
            </w:r>
          </w:p>
        </w:tc>
        <w:tc>
          <w:tcPr>
            <w:tcW w:w="2099" w:type="dxa"/>
          </w:tcPr>
          <w:p w14:paraId="3C71D7E2" w14:textId="005EAD3A" w:rsidR="00556EBD" w:rsidRDefault="000C572D" w:rsidP="001C325C">
            <w:pPr>
              <w:pStyle w:val="ListParagraph"/>
              <w:ind w:left="0"/>
              <w:jc w:val="center"/>
              <w:rPr>
                <w:lang w:val="en-US"/>
              </w:rPr>
            </w:pPr>
            <w:r>
              <w:rPr>
                <w:lang w:val="en-US"/>
              </w:rPr>
              <w:t>Monthly</w:t>
            </w:r>
          </w:p>
        </w:tc>
      </w:tr>
      <w:tr w:rsidR="000C572D" w14:paraId="2DC57605" w14:textId="77777777" w:rsidTr="00AE1C34">
        <w:tc>
          <w:tcPr>
            <w:tcW w:w="2176" w:type="dxa"/>
          </w:tcPr>
          <w:p w14:paraId="76A056E5" w14:textId="50E94DB7" w:rsidR="000C572D" w:rsidRDefault="000C572D" w:rsidP="001C325C">
            <w:pPr>
              <w:pStyle w:val="ListParagraph"/>
              <w:ind w:left="0"/>
              <w:jc w:val="center"/>
              <w:rPr>
                <w:lang w:val="en-US"/>
              </w:rPr>
            </w:pPr>
            <w:r>
              <w:rPr>
                <w:lang w:val="en-US"/>
              </w:rPr>
              <w:t>Population</w:t>
            </w:r>
          </w:p>
        </w:tc>
        <w:tc>
          <w:tcPr>
            <w:tcW w:w="2075" w:type="dxa"/>
          </w:tcPr>
          <w:p w14:paraId="0032862F" w14:textId="2E9EA4C6" w:rsidR="000C572D" w:rsidRDefault="000C572D" w:rsidP="001C325C">
            <w:pPr>
              <w:pStyle w:val="ListParagraph"/>
              <w:ind w:left="0"/>
              <w:jc w:val="center"/>
              <w:rPr>
                <w:lang w:val="en-US"/>
              </w:rPr>
            </w:pPr>
            <w:r>
              <w:rPr>
                <w:lang w:val="en-US"/>
              </w:rPr>
              <w:t>Jan’59-Oct’23</w:t>
            </w:r>
          </w:p>
        </w:tc>
        <w:tc>
          <w:tcPr>
            <w:tcW w:w="2099" w:type="dxa"/>
          </w:tcPr>
          <w:p w14:paraId="2D525746" w14:textId="5CCA0596" w:rsidR="000C572D" w:rsidRDefault="000C572D" w:rsidP="001C325C">
            <w:pPr>
              <w:pStyle w:val="ListParagraph"/>
              <w:ind w:left="0"/>
              <w:jc w:val="center"/>
              <w:rPr>
                <w:lang w:val="en-US"/>
              </w:rPr>
            </w:pPr>
            <w:r>
              <w:rPr>
                <w:lang w:val="en-US"/>
              </w:rPr>
              <w:t>Monthly</w:t>
            </w:r>
          </w:p>
        </w:tc>
      </w:tr>
      <w:tr w:rsidR="000C572D" w14:paraId="0EC63CBE" w14:textId="77777777" w:rsidTr="00AE1C34">
        <w:tc>
          <w:tcPr>
            <w:tcW w:w="2176" w:type="dxa"/>
          </w:tcPr>
          <w:p w14:paraId="12FE302D" w14:textId="1C2FD408" w:rsidR="000C572D" w:rsidRDefault="000C572D" w:rsidP="001C325C">
            <w:pPr>
              <w:pStyle w:val="ListParagraph"/>
              <w:ind w:left="0"/>
              <w:jc w:val="center"/>
              <w:rPr>
                <w:lang w:val="en-US"/>
              </w:rPr>
            </w:pPr>
            <w:r>
              <w:rPr>
                <w:lang w:val="en-US"/>
              </w:rPr>
              <w:t>Real GDP per Capita</w:t>
            </w:r>
          </w:p>
        </w:tc>
        <w:tc>
          <w:tcPr>
            <w:tcW w:w="2075" w:type="dxa"/>
          </w:tcPr>
          <w:p w14:paraId="3C8AE7BE" w14:textId="71E60162" w:rsidR="000C572D" w:rsidRDefault="000C572D" w:rsidP="001C325C">
            <w:pPr>
              <w:pStyle w:val="ListParagraph"/>
              <w:ind w:left="0"/>
              <w:jc w:val="center"/>
              <w:rPr>
                <w:lang w:val="en-US"/>
              </w:rPr>
            </w:pPr>
            <w:r>
              <w:rPr>
                <w:lang w:val="en-US"/>
              </w:rPr>
              <w:t>Jan’47-July’23</w:t>
            </w:r>
          </w:p>
        </w:tc>
        <w:tc>
          <w:tcPr>
            <w:tcW w:w="2099" w:type="dxa"/>
          </w:tcPr>
          <w:p w14:paraId="37E9431C" w14:textId="1FCFFB93" w:rsidR="000C572D" w:rsidRDefault="000C572D" w:rsidP="001C325C">
            <w:pPr>
              <w:pStyle w:val="ListParagraph"/>
              <w:ind w:left="0"/>
              <w:jc w:val="center"/>
              <w:rPr>
                <w:lang w:val="en-US"/>
              </w:rPr>
            </w:pPr>
            <w:r>
              <w:rPr>
                <w:lang w:val="en-US"/>
              </w:rPr>
              <w:t>Annual</w:t>
            </w:r>
          </w:p>
        </w:tc>
      </w:tr>
    </w:tbl>
    <w:p w14:paraId="3C8333E8" w14:textId="578E419B" w:rsidR="00AE1C34" w:rsidRDefault="00AE1C34" w:rsidP="001C325C">
      <w:pPr>
        <w:pStyle w:val="ListParagraph"/>
        <w:jc w:val="center"/>
        <w:rPr>
          <w:lang w:val="en-US"/>
        </w:rPr>
      </w:pPr>
    </w:p>
    <w:p w14:paraId="5709D663" w14:textId="77777777" w:rsidR="001C325C" w:rsidRDefault="001C325C" w:rsidP="001C325C">
      <w:pPr>
        <w:pStyle w:val="ListParagraph"/>
        <w:jc w:val="center"/>
        <w:rPr>
          <w:lang w:val="en-US"/>
        </w:rPr>
      </w:pPr>
    </w:p>
    <w:p w14:paraId="55DC9322" w14:textId="77777777" w:rsidR="001C325C" w:rsidRDefault="001C325C" w:rsidP="001C325C">
      <w:pPr>
        <w:pStyle w:val="ListParagraph"/>
        <w:jc w:val="center"/>
        <w:rPr>
          <w:lang w:val="en-US"/>
        </w:rPr>
      </w:pPr>
    </w:p>
    <w:p w14:paraId="0C8E83B5" w14:textId="77777777" w:rsidR="001C325C" w:rsidRDefault="001C325C" w:rsidP="0038151A">
      <w:pPr>
        <w:rPr>
          <w:lang w:val="en-US"/>
        </w:rPr>
      </w:pPr>
    </w:p>
    <w:p w14:paraId="7A777627" w14:textId="5A7BE4D0" w:rsidR="0038151A" w:rsidRDefault="0038151A" w:rsidP="0038151A">
      <w:pPr>
        <w:rPr>
          <w:rFonts w:ascii="Arial" w:hAnsi="Arial" w:cs="Arial"/>
          <w:color w:val="000000"/>
          <w:kern w:val="0"/>
          <w:sz w:val="22"/>
          <w:szCs w:val="22"/>
          <w:lang w:val="en-GB"/>
        </w:rPr>
      </w:pPr>
      <w:r>
        <w:rPr>
          <w:lang w:val="en-US"/>
        </w:rPr>
        <w:t xml:space="preserve">Dependent Variable- </w:t>
      </w:r>
      <w:r>
        <w:rPr>
          <w:rFonts w:ascii="Arial" w:hAnsi="Arial" w:cs="Arial"/>
          <w:color w:val="000000"/>
          <w:kern w:val="0"/>
          <w:sz w:val="22"/>
          <w:szCs w:val="22"/>
          <w:lang w:val="en-GB"/>
        </w:rPr>
        <w:t>CASE-SCHILLER Home Price Index. It spans from Jan’87-Sep’23.</w:t>
      </w:r>
    </w:p>
    <w:p w14:paraId="259C861D" w14:textId="77777777" w:rsidR="0038151A" w:rsidRPr="0038151A" w:rsidRDefault="0038151A" w:rsidP="0038151A">
      <w:pPr>
        <w:rPr>
          <w:lang w:val="en-US"/>
        </w:rPr>
      </w:pPr>
    </w:p>
    <w:p w14:paraId="300E1B88" w14:textId="1748744A" w:rsidR="001C325C" w:rsidRDefault="00282B04" w:rsidP="00282B04">
      <w:pPr>
        <w:jc w:val="both"/>
      </w:pPr>
      <w:r w:rsidRPr="00282B04">
        <w:t>Initially, a data</w:t>
      </w:r>
      <w:r>
        <w:t xml:space="preserve"> </w:t>
      </w:r>
      <w:r w:rsidRPr="00282B04">
        <w:t xml:space="preserve">frame </w:t>
      </w:r>
      <w:r>
        <w:t xml:space="preserve">(df1) </w:t>
      </w:r>
      <w:r w:rsidRPr="00282B04">
        <w:t>is constructed, encompassing all variables with the exception of 'Real GDP per Capita,' which requires interpolation. Due to the absence of data in consistent time intervals, the time period selected for analysis spans from January 1983 to July 2023.</w:t>
      </w:r>
    </w:p>
    <w:p w14:paraId="7C14B206" w14:textId="77777777" w:rsidR="00AB08E6" w:rsidRDefault="00AB08E6" w:rsidP="00282B04">
      <w:pPr>
        <w:jc w:val="both"/>
      </w:pPr>
    </w:p>
    <w:p w14:paraId="7D46FBC4" w14:textId="77777777" w:rsidR="00AB08E6" w:rsidRDefault="00AB08E6" w:rsidP="00282B04">
      <w:pPr>
        <w:jc w:val="both"/>
      </w:pPr>
    </w:p>
    <w:p w14:paraId="4938450C" w14:textId="77777777" w:rsidR="00AB08E6" w:rsidRDefault="00AB08E6" w:rsidP="00282B04">
      <w:pPr>
        <w:jc w:val="both"/>
      </w:pPr>
    </w:p>
    <w:p w14:paraId="1FD38992" w14:textId="77777777" w:rsidR="00AB08E6" w:rsidRDefault="00AB08E6" w:rsidP="00282B04">
      <w:pPr>
        <w:jc w:val="both"/>
      </w:pPr>
    </w:p>
    <w:p w14:paraId="3F3A15B1" w14:textId="77777777" w:rsidR="00282B04" w:rsidRDefault="00282B04" w:rsidP="00282B04">
      <w:pPr>
        <w:jc w:val="both"/>
      </w:pPr>
    </w:p>
    <w:p w14:paraId="7B7B7B00" w14:textId="77777777" w:rsidR="005C2EF5" w:rsidRPr="005C2EF5" w:rsidRDefault="005C2EF5" w:rsidP="005C2EF5">
      <w:pPr>
        <w:numPr>
          <w:ilvl w:val="0"/>
          <w:numId w:val="2"/>
        </w:numPr>
        <w:jc w:val="both"/>
      </w:pPr>
      <w:r w:rsidRPr="005C2EF5">
        <w:rPr>
          <w:b/>
          <w:bCs/>
        </w:rPr>
        <w:t>Interpolation:</w:t>
      </w:r>
    </w:p>
    <w:p w14:paraId="4B2AB6B2" w14:textId="70806514" w:rsidR="005C2EF5" w:rsidRPr="005C2EF5" w:rsidRDefault="005C2EF5" w:rsidP="005C2EF5">
      <w:pPr>
        <w:numPr>
          <w:ilvl w:val="1"/>
          <w:numId w:val="2"/>
        </w:numPr>
        <w:jc w:val="both"/>
      </w:pPr>
      <w:r w:rsidRPr="005C2EF5">
        <w:t xml:space="preserve">Integrate 'Real GDP per capita' </w:t>
      </w:r>
      <w:r w:rsidR="00AB08E6">
        <w:t xml:space="preserve"> and </w:t>
      </w:r>
      <w:r w:rsidRPr="005C2EF5">
        <w:t>with df1 to create the comprehensive set of input features (df2).</w:t>
      </w:r>
    </w:p>
    <w:p w14:paraId="40AFA2B5" w14:textId="77777777" w:rsidR="005C2EF5" w:rsidRPr="005C2EF5" w:rsidRDefault="005C2EF5" w:rsidP="005C2EF5">
      <w:pPr>
        <w:numPr>
          <w:ilvl w:val="0"/>
          <w:numId w:val="2"/>
        </w:numPr>
        <w:jc w:val="both"/>
      </w:pPr>
      <w:r w:rsidRPr="005C2EF5">
        <w:rPr>
          <w:b/>
          <w:bCs/>
        </w:rPr>
        <w:t>Analysis:</w:t>
      </w:r>
    </w:p>
    <w:p w14:paraId="2D01BDA4" w14:textId="77777777" w:rsidR="005C2EF5" w:rsidRPr="005C2EF5" w:rsidRDefault="005C2EF5" w:rsidP="005C2EF5">
      <w:pPr>
        <w:numPr>
          <w:ilvl w:val="1"/>
          <w:numId w:val="2"/>
        </w:numPr>
        <w:jc w:val="both"/>
      </w:pPr>
      <w:r w:rsidRPr="005C2EF5">
        <w:t>Conduct variable analysis using df2.</w:t>
      </w:r>
    </w:p>
    <w:p w14:paraId="36D505C9" w14:textId="77777777" w:rsidR="005C2EF5" w:rsidRPr="005C2EF5" w:rsidRDefault="005C2EF5" w:rsidP="005C2EF5">
      <w:pPr>
        <w:numPr>
          <w:ilvl w:val="0"/>
          <w:numId w:val="2"/>
        </w:numPr>
        <w:jc w:val="both"/>
      </w:pPr>
      <w:r w:rsidRPr="005C2EF5">
        <w:rPr>
          <w:b/>
          <w:bCs/>
        </w:rPr>
        <w:t>Data Selection:</w:t>
      </w:r>
    </w:p>
    <w:p w14:paraId="254BB541" w14:textId="77777777" w:rsidR="005C2EF5" w:rsidRPr="005C2EF5" w:rsidRDefault="005C2EF5" w:rsidP="005C2EF5">
      <w:pPr>
        <w:numPr>
          <w:ilvl w:val="1"/>
          <w:numId w:val="2"/>
        </w:numPr>
        <w:jc w:val="both"/>
      </w:pPr>
      <w:r w:rsidRPr="005C2EF5">
        <w:t>Extract data from df2 for the period Jan’87 to Sep’23 to study input-output variable relationships.</w:t>
      </w:r>
    </w:p>
    <w:p w14:paraId="64755228" w14:textId="29A5E258" w:rsidR="005C2EF5" w:rsidRPr="005C2EF5" w:rsidRDefault="005C2EF5" w:rsidP="005C2EF5">
      <w:pPr>
        <w:numPr>
          <w:ilvl w:val="0"/>
          <w:numId w:val="2"/>
        </w:numPr>
        <w:jc w:val="both"/>
      </w:pPr>
      <w:r w:rsidRPr="005C2EF5">
        <w:rPr>
          <w:b/>
          <w:bCs/>
        </w:rPr>
        <w:t>Model Construction</w:t>
      </w:r>
      <w:r w:rsidR="00AB08E6">
        <w:rPr>
          <w:b/>
          <w:bCs/>
        </w:rPr>
        <w:t xml:space="preserve"> and Evaluation</w:t>
      </w:r>
      <w:r w:rsidRPr="005C2EF5">
        <w:rPr>
          <w:b/>
          <w:bCs/>
        </w:rPr>
        <w:t>:</w:t>
      </w:r>
    </w:p>
    <w:p w14:paraId="03DDB6AE" w14:textId="77777777" w:rsidR="005C2EF5" w:rsidRDefault="005C2EF5" w:rsidP="005C2EF5">
      <w:pPr>
        <w:numPr>
          <w:ilvl w:val="1"/>
          <w:numId w:val="2"/>
        </w:numPr>
        <w:jc w:val="both"/>
      </w:pPr>
      <w:r w:rsidRPr="005C2EF5">
        <w:t>Utilize data from 2003 to 2023, as specified, for constructing the model.</w:t>
      </w:r>
    </w:p>
    <w:p w14:paraId="47B059CB" w14:textId="45D88F68" w:rsidR="00AB08E6" w:rsidRDefault="00AB08E6" w:rsidP="005C2EF5">
      <w:pPr>
        <w:numPr>
          <w:ilvl w:val="1"/>
          <w:numId w:val="2"/>
        </w:numPr>
        <w:jc w:val="both"/>
      </w:pPr>
      <w:r>
        <w:t>For comparison, I’ve also built a model using all data available</w:t>
      </w:r>
    </w:p>
    <w:p w14:paraId="6BB5E522" w14:textId="77777777" w:rsidR="005C2EF5" w:rsidRPr="005C2EF5" w:rsidRDefault="005C2EF5" w:rsidP="005C2EF5">
      <w:pPr>
        <w:jc w:val="both"/>
        <w:rPr>
          <w:vanish/>
        </w:rPr>
      </w:pPr>
      <w:r w:rsidRPr="005C2EF5">
        <w:rPr>
          <w:vanish/>
        </w:rPr>
        <w:t>Top of Form</w:t>
      </w:r>
    </w:p>
    <w:p w14:paraId="3C2444D5" w14:textId="77777777" w:rsidR="005C2EF5" w:rsidRPr="005C2EF5" w:rsidRDefault="005C2EF5" w:rsidP="005C2EF5">
      <w:pPr>
        <w:jc w:val="both"/>
      </w:pPr>
    </w:p>
    <w:p w14:paraId="56718667" w14:textId="77777777" w:rsidR="005C2EF5" w:rsidRPr="005C2EF5" w:rsidRDefault="005C2EF5" w:rsidP="005C2EF5">
      <w:pPr>
        <w:jc w:val="both"/>
        <w:rPr>
          <w:vanish/>
        </w:rPr>
      </w:pPr>
      <w:r w:rsidRPr="005C2EF5">
        <w:rPr>
          <w:vanish/>
        </w:rPr>
        <w:t>Bottom of Form</w:t>
      </w:r>
    </w:p>
    <w:p w14:paraId="3D7C0962" w14:textId="77777777" w:rsidR="0038151A" w:rsidRDefault="0038151A" w:rsidP="0038151A">
      <w:pPr>
        <w:jc w:val="both"/>
      </w:pPr>
    </w:p>
    <w:p w14:paraId="17605A8C" w14:textId="77777777" w:rsidR="0038151A" w:rsidRDefault="0038151A" w:rsidP="0038151A">
      <w:pPr>
        <w:jc w:val="both"/>
      </w:pPr>
    </w:p>
    <w:p w14:paraId="1D89C3A5" w14:textId="77777777" w:rsidR="0038151A" w:rsidRPr="0038151A" w:rsidRDefault="0038151A" w:rsidP="0038151A">
      <w:pPr>
        <w:jc w:val="both"/>
      </w:pPr>
    </w:p>
    <w:p w14:paraId="449F57E3" w14:textId="77777777" w:rsidR="00C909D2" w:rsidRPr="001C325C" w:rsidRDefault="00C909D2" w:rsidP="0038151A">
      <w:pPr>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909D2" w:rsidRPr="001C3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6C72"/>
    <w:multiLevelType w:val="hybridMultilevel"/>
    <w:tmpl w:val="12E89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A2F3E"/>
    <w:multiLevelType w:val="multilevel"/>
    <w:tmpl w:val="1B10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32C75"/>
    <w:multiLevelType w:val="multilevel"/>
    <w:tmpl w:val="9A9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D77C5E"/>
    <w:multiLevelType w:val="multilevel"/>
    <w:tmpl w:val="C74A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21774"/>
    <w:multiLevelType w:val="multilevel"/>
    <w:tmpl w:val="01D2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A4561"/>
    <w:multiLevelType w:val="hybridMultilevel"/>
    <w:tmpl w:val="91142E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1A3FAB"/>
    <w:multiLevelType w:val="hybridMultilevel"/>
    <w:tmpl w:val="D75A2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36384">
    <w:abstractNumId w:val="5"/>
  </w:num>
  <w:num w:numId="2" w16cid:durableId="819539671">
    <w:abstractNumId w:val="1"/>
  </w:num>
  <w:num w:numId="3" w16cid:durableId="770050644">
    <w:abstractNumId w:val="3"/>
  </w:num>
  <w:num w:numId="4" w16cid:durableId="1722703022">
    <w:abstractNumId w:val="4"/>
  </w:num>
  <w:num w:numId="5" w16cid:durableId="1061178059">
    <w:abstractNumId w:val="0"/>
  </w:num>
  <w:num w:numId="6" w16cid:durableId="1248268111">
    <w:abstractNumId w:val="6"/>
  </w:num>
  <w:num w:numId="7" w16cid:durableId="1244682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34"/>
    <w:rsid w:val="000C572D"/>
    <w:rsid w:val="00194FE3"/>
    <w:rsid w:val="001C325C"/>
    <w:rsid w:val="001F7741"/>
    <w:rsid w:val="002754C4"/>
    <w:rsid w:val="00282B04"/>
    <w:rsid w:val="002873B5"/>
    <w:rsid w:val="0038151A"/>
    <w:rsid w:val="00556EBD"/>
    <w:rsid w:val="005C2EF5"/>
    <w:rsid w:val="00614C74"/>
    <w:rsid w:val="009D71AA"/>
    <w:rsid w:val="00A44588"/>
    <w:rsid w:val="00AB08E6"/>
    <w:rsid w:val="00AE1C34"/>
    <w:rsid w:val="00BD403C"/>
    <w:rsid w:val="00C9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074110"/>
  <w15:chartTrackingRefBased/>
  <w15:docId w15:val="{4C64A9EB-EFF0-8248-9AAE-7A9C1A06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C34"/>
    <w:pPr>
      <w:ind w:left="720"/>
      <w:contextualSpacing/>
    </w:pPr>
  </w:style>
  <w:style w:type="table" w:styleId="TableGrid">
    <w:name w:val="Table Grid"/>
    <w:basedOn w:val="TableNormal"/>
    <w:uiPriority w:val="39"/>
    <w:rsid w:val="00AE1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588"/>
    <w:rPr>
      <w:color w:val="0563C1" w:themeColor="hyperlink"/>
      <w:u w:val="single"/>
    </w:rPr>
  </w:style>
  <w:style w:type="character" w:styleId="FollowedHyperlink">
    <w:name w:val="FollowedHyperlink"/>
    <w:basedOn w:val="DefaultParagraphFont"/>
    <w:uiPriority w:val="99"/>
    <w:semiHidden/>
    <w:unhideWhenUsed/>
    <w:rsid w:val="00A44588"/>
    <w:rPr>
      <w:color w:val="954F72" w:themeColor="followedHyperlink"/>
      <w:u w:val="single"/>
    </w:rPr>
  </w:style>
  <w:style w:type="character" w:styleId="UnresolvedMention">
    <w:name w:val="Unresolved Mention"/>
    <w:basedOn w:val="DefaultParagraphFont"/>
    <w:uiPriority w:val="99"/>
    <w:semiHidden/>
    <w:unhideWhenUsed/>
    <w:rsid w:val="009D7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887">
      <w:bodyDiv w:val="1"/>
      <w:marLeft w:val="0"/>
      <w:marRight w:val="0"/>
      <w:marTop w:val="0"/>
      <w:marBottom w:val="0"/>
      <w:divBdr>
        <w:top w:val="none" w:sz="0" w:space="0" w:color="auto"/>
        <w:left w:val="none" w:sz="0" w:space="0" w:color="auto"/>
        <w:bottom w:val="none" w:sz="0" w:space="0" w:color="auto"/>
        <w:right w:val="none" w:sz="0" w:space="0" w:color="auto"/>
      </w:divBdr>
      <w:divsChild>
        <w:div w:id="28996389">
          <w:marLeft w:val="0"/>
          <w:marRight w:val="0"/>
          <w:marTop w:val="0"/>
          <w:marBottom w:val="0"/>
          <w:divBdr>
            <w:top w:val="single" w:sz="2" w:space="0" w:color="D9D9E3"/>
            <w:left w:val="single" w:sz="2" w:space="0" w:color="D9D9E3"/>
            <w:bottom w:val="single" w:sz="2" w:space="0" w:color="D9D9E3"/>
            <w:right w:val="single" w:sz="2" w:space="0" w:color="D9D9E3"/>
          </w:divBdr>
          <w:divsChild>
            <w:div w:id="1132558101">
              <w:marLeft w:val="0"/>
              <w:marRight w:val="0"/>
              <w:marTop w:val="0"/>
              <w:marBottom w:val="0"/>
              <w:divBdr>
                <w:top w:val="single" w:sz="2" w:space="0" w:color="D9D9E3"/>
                <w:left w:val="single" w:sz="2" w:space="0" w:color="D9D9E3"/>
                <w:bottom w:val="single" w:sz="2" w:space="0" w:color="D9D9E3"/>
                <w:right w:val="single" w:sz="2" w:space="0" w:color="D9D9E3"/>
              </w:divBdr>
              <w:divsChild>
                <w:div w:id="340476544">
                  <w:marLeft w:val="0"/>
                  <w:marRight w:val="0"/>
                  <w:marTop w:val="0"/>
                  <w:marBottom w:val="0"/>
                  <w:divBdr>
                    <w:top w:val="single" w:sz="2" w:space="0" w:color="D9D9E3"/>
                    <w:left w:val="single" w:sz="2" w:space="0" w:color="D9D9E3"/>
                    <w:bottom w:val="single" w:sz="2" w:space="0" w:color="D9D9E3"/>
                    <w:right w:val="single" w:sz="2" w:space="0" w:color="D9D9E3"/>
                  </w:divBdr>
                  <w:divsChild>
                    <w:div w:id="1284506454">
                      <w:marLeft w:val="0"/>
                      <w:marRight w:val="0"/>
                      <w:marTop w:val="0"/>
                      <w:marBottom w:val="0"/>
                      <w:divBdr>
                        <w:top w:val="single" w:sz="2" w:space="0" w:color="D9D9E3"/>
                        <w:left w:val="single" w:sz="2" w:space="0" w:color="D9D9E3"/>
                        <w:bottom w:val="single" w:sz="2" w:space="0" w:color="D9D9E3"/>
                        <w:right w:val="single" w:sz="2" w:space="0" w:color="D9D9E3"/>
                      </w:divBdr>
                      <w:divsChild>
                        <w:div w:id="2007124892">
                          <w:marLeft w:val="0"/>
                          <w:marRight w:val="0"/>
                          <w:marTop w:val="0"/>
                          <w:marBottom w:val="0"/>
                          <w:divBdr>
                            <w:top w:val="single" w:sz="2" w:space="0" w:color="D9D9E3"/>
                            <w:left w:val="single" w:sz="2" w:space="0" w:color="D9D9E3"/>
                            <w:bottom w:val="single" w:sz="2" w:space="0" w:color="D9D9E3"/>
                            <w:right w:val="single" w:sz="2" w:space="0" w:color="D9D9E3"/>
                          </w:divBdr>
                          <w:divsChild>
                            <w:div w:id="2055883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100998">
                                  <w:marLeft w:val="0"/>
                                  <w:marRight w:val="0"/>
                                  <w:marTop w:val="0"/>
                                  <w:marBottom w:val="0"/>
                                  <w:divBdr>
                                    <w:top w:val="single" w:sz="2" w:space="0" w:color="D9D9E3"/>
                                    <w:left w:val="single" w:sz="2" w:space="0" w:color="D9D9E3"/>
                                    <w:bottom w:val="single" w:sz="2" w:space="0" w:color="D9D9E3"/>
                                    <w:right w:val="single" w:sz="2" w:space="0" w:color="D9D9E3"/>
                                  </w:divBdr>
                                  <w:divsChild>
                                    <w:div w:id="1476409411">
                                      <w:marLeft w:val="0"/>
                                      <w:marRight w:val="0"/>
                                      <w:marTop w:val="0"/>
                                      <w:marBottom w:val="0"/>
                                      <w:divBdr>
                                        <w:top w:val="single" w:sz="2" w:space="0" w:color="D9D9E3"/>
                                        <w:left w:val="single" w:sz="2" w:space="0" w:color="D9D9E3"/>
                                        <w:bottom w:val="single" w:sz="2" w:space="0" w:color="D9D9E3"/>
                                        <w:right w:val="single" w:sz="2" w:space="0" w:color="D9D9E3"/>
                                      </w:divBdr>
                                      <w:divsChild>
                                        <w:div w:id="1029646758">
                                          <w:marLeft w:val="0"/>
                                          <w:marRight w:val="0"/>
                                          <w:marTop w:val="0"/>
                                          <w:marBottom w:val="0"/>
                                          <w:divBdr>
                                            <w:top w:val="single" w:sz="2" w:space="0" w:color="D9D9E3"/>
                                            <w:left w:val="single" w:sz="2" w:space="0" w:color="D9D9E3"/>
                                            <w:bottom w:val="single" w:sz="2" w:space="0" w:color="D9D9E3"/>
                                            <w:right w:val="single" w:sz="2" w:space="0" w:color="D9D9E3"/>
                                          </w:divBdr>
                                          <w:divsChild>
                                            <w:div w:id="1715813151">
                                              <w:marLeft w:val="0"/>
                                              <w:marRight w:val="0"/>
                                              <w:marTop w:val="0"/>
                                              <w:marBottom w:val="0"/>
                                              <w:divBdr>
                                                <w:top w:val="single" w:sz="2" w:space="0" w:color="D9D9E3"/>
                                                <w:left w:val="single" w:sz="2" w:space="0" w:color="D9D9E3"/>
                                                <w:bottom w:val="single" w:sz="2" w:space="0" w:color="D9D9E3"/>
                                                <w:right w:val="single" w:sz="2" w:space="0" w:color="D9D9E3"/>
                                              </w:divBdr>
                                              <w:divsChild>
                                                <w:div w:id="1527057912">
                                                  <w:marLeft w:val="0"/>
                                                  <w:marRight w:val="0"/>
                                                  <w:marTop w:val="0"/>
                                                  <w:marBottom w:val="0"/>
                                                  <w:divBdr>
                                                    <w:top w:val="single" w:sz="2" w:space="0" w:color="D9D9E3"/>
                                                    <w:left w:val="single" w:sz="2" w:space="0" w:color="D9D9E3"/>
                                                    <w:bottom w:val="single" w:sz="2" w:space="0" w:color="D9D9E3"/>
                                                    <w:right w:val="single" w:sz="2" w:space="0" w:color="D9D9E3"/>
                                                  </w:divBdr>
                                                  <w:divsChild>
                                                    <w:div w:id="165902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9894067">
          <w:marLeft w:val="0"/>
          <w:marRight w:val="0"/>
          <w:marTop w:val="0"/>
          <w:marBottom w:val="0"/>
          <w:divBdr>
            <w:top w:val="none" w:sz="0" w:space="0" w:color="auto"/>
            <w:left w:val="none" w:sz="0" w:space="0" w:color="auto"/>
            <w:bottom w:val="none" w:sz="0" w:space="0" w:color="auto"/>
            <w:right w:val="none" w:sz="0" w:space="0" w:color="auto"/>
          </w:divBdr>
          <w:divsChild>
            <w:div w:id="1321421046">
              <w:marLeft w:val="0"/>
              <w:marRight w:val="0"/>
              <w:marTop w:val="0"/>
              <w:marBottom w:val="0"/>
              <w:divBdr>
                <w:top w:val="single" w:sz="2" w:space="0" w:color="D9D9E3"/>
                <w:left w:val="single" w:sz="2" w:space="0" w:color="D9D9E3"/>
                <w:bottom w:val="single" w:sz="2" w:space="0" w:color="D9D9E3"/>
                <w:right w:val="single" w:sz="2" w:space="0" w:color="D9D9E3"/>
              </w:divBdr>
              <w:divsChild>
                <w:div w:id="2019766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9313138">
      <w:bodyDiv w:val="1"/>
      <w:marLeft w:val="0"/>
      <w:marRight w:val="0"/>
      <w:marTop w:val="0"/>
      <w:marBottom w:val="0"/>
      <w:divBdr>
        <w:top w:val="none" w:sz="0" w:space="0" w:color="auto"/>
        <w:left w:val="none" w:sz="0" w:space="0" w:color="auto"/>
        <w:bottom w:val="none" w:sz="0" w:space="0" w:color="auto"/>
        <w:right w:val="none" w:sz="0" w:space="0" w:color="auto"/>
      </w:divBdr>
    </w:div>
    <w:div w:id="1859734737">
      <w:bodyDiv w:val="1"/>
      <w:marLeft w:val="0"/>
      <w:marRight w:val="0"/>
      <w:marTop w:val="0"/>
      <w:marBottom w:val="0"/>
      <w:divBdr>
        <w:top w:val="none" w:sz="0" w:space="0" w:color="auto"/>
        <w:left w:val="none" w:sz="0" w:space="0" w:color="auto"/>
        <w:bottom w:val="none" w:sz="0" w:space="0" w:color="auto"/>
        <w:right w:val="none" w:sz="0" w:space="0" w:color="auto"/>
      </w:divBdr>
    </w:div>
    <w:div w:id="1966887928">
      <w:bodyDiv w:val="1"/>
      <w:marLeft w:val="0"/>
      <w:marRight w:val="0"/>
      <w:marTop w:val="0"/>
      <w:marBottom w:val="0"/>
      <w:divBdr>
        <w:top w:val="none" w:sz="0" w:space="0" w:color="auto"/>
        <w:left w:val="none" w:sz="0" w:space="0" w:color="auto"/>
        <w:bottom w:val="none" w:sz="0" w:space="0" w:color="auto"/>
        <w:right w:val="none" w:sz="0" w:space="0" w:color="auto"/>
      </w:divBdr>
      <w:divsChild>
        <w:div w:id="487094761">
          <w:marLeft w:val="0"/>
          <w:marRight w:val="0"/>
          <w:marTop w:val="0"/>
          <w:marBottom w:val="0"/>
          <w:divBdr>
            <w:top w:val="single" w:sz="2" w:space="0" w:color="D9D9E3"/>
            <w:left w:val="single" w:sz="2" w:space="0" w:color="D9D9E3"/>
            <w:bottom w:val="single" w:sz="2" w:space="0" w:color="D9D9E3"/>
            <w:right w:val="single" w:sz="2" w:space="0" w:color="D9D9E3"/>
          </w:divBdr>
          <w:divsChild>
            <w:div w:id="1702434695">
              <w:marLeft w:val="0"/>
              <w:marRight w:val="0"/>
              <w:marTop w:val="0"/>
              <w:marBottom w:val="0"/>
              <w:divBdr>
                <w:top w:val="single" w:sz="2" w:space="0" w:color="D9D9E3"/>
                <w:left w:val="single" w:sz="2" w:space="0" w:color="D9D9E3"/>
                <w:bottom w:val="single" w:sz="2" w:space="0" w:color="D9D9E3"/>
                <w:right w:val="single" w:sz="2" w:space="0" w:color="D9D9E3"/>
              </w:divBdr>
              <w:divsChild>
                <w:div w:id="1346665557">
                  <w:marLeft w:val="0"/>
                  <w:marRight w:val="0"/>
                  <w:marTop w:val="0"/>
                  <w:marBottom w:val="0"/>
                  <w:divBdr>
                    <w:top w:val="single" w:sz="2" w:space="0" w:color="D9D9E3"/>
                    <w:left w:val="single" w:sz="2" w:space="0" w:color="D9D9E3"/>
                    <w:bottom w:val="single" w:sz="2" w:space="0" w:color="D9D9E3"/>
                    <w:right w:val="single" w:sz="2" w:space="0" w:color="D9D9E3"/>
                  </w:divBdr>
                  <w:divsChild>
                    <w:div w:id="153879311">
                      <w:marLeft w:val="0"/>
                      <w:marRight w:val="0"/>
                      <w:marTop w:val="0"/>
                      <w:marBottom w:val="0"/>
                      <w:divBdr>
                        <w:top w:val="single" w:sz="2" w:space="0" w:color="D9D9E3"/>
                        <w:left w:val="single" w:sz="2" w:space="0" w:color="D9D9E3"/>
                        <w:bottom w:val="single" w:sz="2" w:space="0" w:color="D9D9E3"/>
                        <w:right w:val="single" w:sz="2" w:space="0" w:color="D9D9E3"/>
                      </w:divBdr>
                      <w:divsChild>
                        <w:div w:id="1214199865">
                          <w:marLeft w:val="0"/>
                          <w:marRight w:val="0"/>
                          <w:marTop w:val="0"/>
                          <w:marBottom w:val="0"/>
                          <w:divBdr>
                            <w:top w:val="single" w:sz="2" w:space="0" w:color="D9D9E3"/>
                            <w:left w:val="single" w:sz="2" w:space="0" w:color="D9D9E3"/>
                            <w:bottom w:val="single" w:sz="2" w:space="0" w:color="D9D9E3"/>
                            <w:right w:val="single" w:sz="2" w:space="0" w:color="D9D9E3"/>
                          </w:divBdr>
                          <w:divsChild>
                            <w:div w:id="158147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4470">
                                  <w:marLeft w:val="0"/>
                                  <w:marRight w:val="0"/>
                                  <w:marTop w:val="0"/>
                                  <w:marBottom w:val="0"/>
                                  <w:divBdr>
                                    <w:top w:val="single" w:sz="2" w:space="0" w:color="D9D9E3"/>
                                    <w:left w:val="single" w:sz="2" w:space="0" w:color="D9D9E3"/>
                                    <w:bottom w:val="single" w:sz="2" w:space="0" w:color="D9D9E3"/>
                                    <w:right w:val="single" w:sz="2" w:space="0" w:color="D9D9E3"/>
                                  </w:divBdr>
                                  <w:divsChild>
                                    <w:div w:id="619846985">
                                      <w:marLeft w:val="0"/>
                                      <w:marRight w:val="0"/>
                                      <w:marTop w:val="0"/>
                                      <w:marBottom w:val="0"/>
                                      <w:divBdr>
                                        <w:top w:val="single" w:sz="2" w:space="0" w:color="D9D9E3"/>
                                        <w:left w:val="single" w:sz="2" w:space="0" w:color="D9D9E3"/>
                                        <w:bottom w:val="single" w:sz="2" w:space="0" w:color="D9D9E3"/>
                                        <w:right w:val="single" w:sz="2" w:space="0" w:color="D9D9E3"/>
                                      </w:divBdr>
                                      <w:divsChild>
                                        <w:div w:id="1868833672">
                                          <w:marLeft w:val="0"/>
                                          <w:marRight w:val="0"/>
                                          <w:marTop w:val="0"/>
                                          <w:marBottom w:val="0"/>
                                          <w:divBdr>
                                            <w:top w:val="single" w:sz="2" w:space="0" w:color="D9D9E3"/>
                                            <w:left w:val="single" w:sz="2" w:space="0" w:color="D9D9E3"/>
                                            <w:bottom w:val="single" w:sz="2" w:space="0" w:color="D9D9E3"/>
                                            <w:right w:val="single" w:sz="2" w:space="0" w:color="D9D9E3"/>
                                          </w:divBdr>
                                          <w:divsChild>
                                            <w:div w:id="2004773381">
                                              <w:marLeft w:val="0"/>
                                              <w:marRight w:val="0"/>
                                              <w:marTop w:val="0"/>
                                              <w:marBottom w:val="0"/>
                                              <w:divBdr>
                                                <w:top w:val="single" w:sz="2" w:space="0" w:color="D9D9E3"/>
                                                <w:left w:val="single" w:sz="2" w:space="0" w:color="D9D9E3"/>
                                                <w:bottom w:val="single" w:sz="2" w:space="0" w:color="D9D9E3"/>
                                                <w:right w:val="single" w:sz="2" w:space="0" w:color="D9D9E3"/>
                                              </w:divBdr>
                                              <w:divsChild>
                                                <w:div w:id="1448621630">
                                                  <w:marLeft w:val="0"/>
                                                  <w:marRight w:val="0"/>
                                                  <w:marTop w:val="0"/>
                                                  <w:marBottom w:val="0"/>
                                                  <w:divBdr>
                                                    <w:top w:val="single" w:sz="2" w:space="0" w:color="D9D9E3"/>
                                                    <w:left w:val="single" w:sz="2" w:space="0" w:color="D9D9E3"/>
                                                    <w:bottom w:val="single" w:sz="2" w:space="0" w:color="D9D9E3"/>
                                                    <w:right w:val="single" w:sz="2" w:space="0" w:color="D9D9E3"/>
                                                  </w:divBdr>
                                                  <w:divsChild>
                                                    <w:div w:id="44442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8052110">
          <w:marLeft w:val="0"/>
          <w:marRight w:val="0"/>
          <w:marTop w:val="0"/>
          <w:marBottom w:val="0"/>
          <w:divBdr>
            <w:top w:val="none" w:sz="0" w:space="0" w:color="auto"/>
            <w:left w:val="none" w:sz="0" w:space="0" w:color="auto"/>
            <w:bottom w:val="none" w:sz="0" w:space="0" w:color="auto"/>
            <w:right w:val="none" w:sz="0" w:space="0" w:color="auto"/>
          </w:divBdr>
          <w:divsChild>
            <w:div w:id="174903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6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LREM64TTUSM156S" TargetMode="External"/><Relationship Id="rId13" Type="http://schemas.openxmlformats.org/officeDocument/2006/relationships/hyperlink" Target="https://fred.stlouisfed.org/series/DSPI" TargetMode="External"/><Relationship Id="rId3" Type="http://schemas.openxmlformats.org/officeDocument/2006/relationships/settings" Target="settings.xml"/><Relationship Id="rId7" Type="http://schemas.openxmlformats.org/officeDocument/2006/relationships/hyperlink" Target="https://fred.stlouisfed.org/series/POPTHM#0" TargetMode="External"/><Relationship Id="rId12" Type="http://schemas.openxmlformats.org/officeDocument/2006/relationships/hyperlink" Target="https://fred.stlouisfed.org/series/MEDCPIM158SFRB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FEDFUNDS" TargetMode="External"/><Relationship Id="rId11" Type="http://schemas.openxmlformats.org/officeDocument/2006/relationships/hyperlink" Target="https://fred.stlouisfed.org/series/LNS14000024" TargetMode="External"/><Relationship Id="rId5" Type="http://schemas.openxmlformats.org/officeDocument/2006/relationships/hyperlink" Target="https://fred.stlouisfed.org/series/MEDCPIM094SFRBCLE" TargetMode="External"/><Relationship Id="rId15" Type="http://schemas.openxmlformats.org/officeDocument/2006/relationships/theme" Target="theme/theme1.xml"/><Relationship Id="rId10" Type="http://schemas.openxmlformats.org/officeDocument/2006/relationships/hyperlink" Target="https://www.census.gov/construction/nrs/historical_data/index.html" TargetMode="External"/><Relationship Id="rId4" Type="http://schemas.openxmlformats.org/officeDocument/2006/relationships/webSettings" Target="webSettings.xml"/><Relationship Id="rId9" Type="http://schemas.openxmlformats.org/officeDocument/2006/relationships/hyperlink" Target="https://fred.stlouisfed.org/series/MORTGAGE30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Batra</dc:creator>
  <cp:keywords/>
  <dc:description/>
  <cp:lastModifiedBy>Pranjal Batra</cp:lastModifiedBy>
  <cp:revision>2</cp:revision>
  <dcterms:created xsi:type="dcterms:W3CDTF">2023-12-01T04:33:00Z</dcterms:created>
  <dcterms:modified xsi:type="dcterms:W3CDTF">2023-12-01T04:33:00Z</dcterms:modified>
</cp:coreProperties>
</file>