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4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Agradecimientos</w:t>
      </w:r>
    </w:p>
    <w:p w:rsidR="00000000" w:rsidDel="00000000" w:rsidP="00000000" w:rsidRDefault="00000000" w:rsidRPr="00000000" w14:paraId="00000002">
      <w:pPr>
        <w:ind w:right="4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WGBH agradece a National Endowment of Humanities (NEH) por su apoyo al Proyecto de Capacitación y Desarrollo de PBCore (PR-253384-17)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Creado en 1965 como una agencia federal independiente, National Endowment for Humanities apoya la investigación y el aprendizaje en historia, literatura, filosofía y otras áreas de las humanidades al financiar propuestas seleccionadas y revisadas por pares de todo el país. Información adicional sobre National Endowment for Humanities y sus programas de subvenciones está disponible en: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www.neh.gov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WGBH también desea agradecer a los miembros del Comité Asesor del Proyecto de Capacitación y Desarrollo de PBCore, incluidos Rebecca Guenther, Julie Hardesty, Morgan Morel y Kara van Malssen.</w:t>
      </w:r>
    </w:p>
    <w:p w:rsidR="00000000" w:rsidDel="00000000" w:rsidP="00000000" w:rsidRDefault="00000000" w:rsidRPr="00000000" w14:paraId="00000008">
      <w:pPr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PBCore no sería posible sin el generoso apoyo de los voluntarios del Subcomité Asesor de PBCore de la Asociación de Archivistas de Imágenes en Movimiento.</w:t>
      </w:r>
    </w:p>
    <w:p w:rsidR="00000000" w:rsidDel="00000000" w:rsidP="00000000" w:rsidRDefault="00000000" w:rsidRPr="00000000" w14:paraId="0000000A">
      <w:pPr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45"/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equipo de traducción desea agradecer a nuestros colegas por su generosidad y compañerismo en este esfuerzo e investigación. Y en particular a los colegas que nos brindaron su valiosa opinión en las preguntas y encuestas que realizamos, incluidos Lorena Bordigoni, Julio Cabrio, Henry Caicedo Caicedo, Katherine Diaz Cervantes, Paula Félix-Didier, Cristina Fontánez Rodríguez, Jeannette Garces, Caroline Gil, Pamela Gionco, Wency Hojas, Jo Ana Morfin, Gonzalo Ramirez, Diana Vargas, y Pamela Vizner.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Puede leer más sobre la beca aquí: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u w:val="single"/>
            <w:rtl w:val="0"/>
          </w:rPr>
          <w:t xml:space="preserve">https://securegrants.neh.gov/publicquery/products.aspx?gn=PR-253384-17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neh.gov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securegrants.neh.gov/publicquery/products.aspx?gn=PR-253384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