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C7" w:rsidRPr="00CD6754" w:rsidRDefault="003952C7" w:rsidP="003952C7">
      <w:pPr>
        <w:pStyle w:val="Testname"/>
        <w:rPr>
          <w:b w:val="0"/>
          <w:lang w:val="fr-FR"/>
        </w:rPr>
      </w:pPr>
      <w:r w:rsidRPr="00CD6754">
        <w:rPr>
          <w:lang w:val="fr-FR"/>
        </w:rPr>
        <w:t>[</w:t>
      </w:r>
      <w:r w:rsidR="002D0936">
        <w:rPr>
          <w:lang w:val="fr-FR"/>
        </w:rPr>
        <w:t xml:space="preserve">Préparation </w:t>
      </w:r>
      <w:r w:rsidR="00ED6901">
        <w:rPr>
          <w:lang w:val="fr-FR"/>
        </w:rPr>
        <w:t>Test</w:t>
      </w:r>
      <w:r>
        <w:rPr>
          <w:lang w:val="fr-FR"/>
        </w:rPr>
        <w:t xml:space="preserve"> : </w:t>
      </w:r>
      <w:r w:rsidR="00065DF7">
        <w:rPr>
          <w:lang w:val="fr-FR"/>
        </w:rPr>
        <w:t>As</w:t>
      </w:r>
      <w:r w:rsidR="002F6154">
        <w:rPr>
          <w:lang w:val="fr-FR"/>
        </w:rPr>
        <w:t>pects thermiques du</w:t>
      </w:r>
      <w:r w:rsidR="00A77DD8">
        <w:rPr>
          <w:lang w:val="fr-FR"/>
        </w:rPr>
        <w:t xml:space="preserve"> Power-MOSFET</w:t>
      </w:r>
      <w:r w:rsidRPr="00CD6754">
        <w:rPr>
          <w:lang w:val="fr-FR"/>
        </w:rPr>
        <w:t>]</w:t>
      </w:r>
    </w:p>
    <w:tbl>
      <w:tblPr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3150"/>
        <w:gridCol w:w="1170"/>
        <w:gridCol w:w="3690"/>
      </w:tblGrid>
      <w:tr w:rsidR="003952C7" w:rsidRPr="00CD6754" w:rsidTr="0005489E">
        <w:tc>
          <w:tcPr>
            <w:tcW w:w="1465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>
              <w:rPr>
                <w:lang w:val="fr-FR"/>
              </w:rPr>
              <w:t>Enseignant</w:t>
            </w:r>
            <w:r w:rsidRPr="00CD6754">
              <w:rPr>
                <w:lang w:val="fr-FR"/>
              </w:rPr>
              <w:t> :</w:t>
            </w:r>
          </w:p>
        </w:tc>
        <w:sdt>
          <w:sdtPr>
            <w:rPr>
              <w:lang w:val="fr-FR"/>
            </w:rPr>
            <w:id w:val="36987259"/>
            <w:placeholder>
              <w:docPart w:val="E9764FDFD03049A4AAB30DC1EFCB12C9"/>
            </w:placeholder>
          </w:sdtPr>
          <w:sdtEndPr/>
          <w:sdtContent>
            <w:tc>
              <w:tcPr>
                <w:tcW w:w="3150" w:type="dxa"/>
                <w:tcBorders>
                  <w:bottom w:val="single" w:sz="4" w:space="0" w:color="auto"/>
                </w:tcBorders>
                <w:vAlign w:val="bottom"/>
              </w:tcPr>
              <w:p w:rsidR="003952C7" w:rsidRPr="00CD6754" w:rsidRDefault="003952C7" w:rsidP="00CD2844">
                <w:pPr>
                  <w:pStyle w:val="Classdetails"/>
                  <w:framePr w:hSpace="0" w:wrap="auto" w:vAnchor="margin" w:hAnchor="text" w:yAlign="inline"/>
                  <w:rPr>
                    <w:lang w:val="fr-FR"/>
                  </w:rPr>
                </w:pPr>
                <w:r>
                  <w:rPr>
                    <w:lang w:val="fr-FR"/>
                  </w:rPr>
                  <w:t>M. Bonzon</w:t>
                </w:r>
              </w:p>
            </w:tc>
          </w:sdtContent>
        </w:sdt>
        <w:tc>
          <w:tcPr>
            <w:tcW w:w="1170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 w:rsidRPr="00CD6754">
              <w:rPr>
                <w:lang w:val="fr-FR"/>
              </w:rPr>
              <w:t>Nom 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</w:p>
        </w:tc>
      </w:tr>
      <w:tr w:rsidR="003952C7" w:rsidRPr="002C484A" w:rsidTr="0005489E">
        <w:tc>
          <w:tcPr>
            <w:tcW w:w="1465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 w:rsidRPr="00CD6754">
              <w:rPr>
                <w:lang w:val="fr-FR"/>
              </w:rPr>
              <w:t>Cours :</w:t>
            </w:r>
          </w:p>
        </w:tc>
        <w:sdt>
          <w:sdtPr>
            <w:rPr>
              <w:lang w:val="fr-FR"/>
            </w:rPr>
            <w:id w:val="36987263"/>
            <w:placeholder>
              <w:docPart w:val="AB5150175A6642C3922D6F2BFE24D300"/>
            </w:placeholder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952C7" w:rsidRPr="00CD6754" w:rsidRDefault="003952C7" w:rsidP="00CD2844">
                <w:pPr>
                  <w:pStyle w:val="Classdetails"/>
                  <w:framePr w:hSpace="0" w:wrap="auto" w:vAnchor="margin" w:hAnchor="text" w:yAlign="inline"/>
                  <w:rPr>
                    <w:lang w:val="fr-FR"/>
                  </w:rPr>
                </w:pPr>
                <w:r>
                  <w:rPr>
                    <w:lang w:val="fr-FR"/>
                  </w:rPr>
                  <w:t>Composants</w:t>
                </w:r>
              </w:p>
            </w:tc>
          </w:sdtContent>
        </w:sdt>
        <w:tc>
          <w:tcPr>
            <w:tcW w:w="1170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 w:rsidRPr="00CD6754">
              <w:rPr>
                <w:lang w:val="fr-FR"/>
              </w:rPr>
              <w:t>Date 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</w:p>
        </w:tc>
      </w:tr>
      <w:tr w:rsidR="003952C7" w:rsidRPr="002C484A" w:rsidTr="0005489E">
        <w:tc>
          <w:tcPr>
            <w:tcW w:w="1465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>
              <w:rPr>
                <w:lang w:val="fr-FR"/>
              </w:rPr>
              <w:t>Classe</w:t>
            </w:r>
            <w:r w:rsidRPr="00CD6754">
              <w:rPr>
                <w:lang w:val="fr-FR"/>
              </w:rPr>
              <w:t> :</w:t>
            </w:r>
          </w:p>
        </w:tc>
        <w:sdt>
          <w:sdtPr>
            <w:rPr>
              <w:lang w:val="fr-FR"/>
            </w:rPr>
            <w:id w:val="36987266"/>
            <w:placeholder>
              <w:docPart w:val="37DB78FC864240A78D0499FFFC394FA5"/>
            </w:placeholder>
          </w:sdtPr>
          <w:sdtEndPr/>
          <w:sdtContent>
            <w:tc>
              <w:tcPr>
                <w:tcW w:w="315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3952C7" w:rsidRPr="00CD6754" w:rsidRDefault="003952C7" w:rsidP="00CD2844">
                <w:pPr>
                  <w:pStyle w:val="Classdetails"/>
                  <w:framePr w:hSpace="0" w:wrap="auto" w:vAnchor="margin" w:hAnchor="text" w:yAlign="inline"/>
                  <w:rPr>
                    <w:lang w:val="fr-FR"/>
                  </w:rPr>
                </w:pPr>
                <w:r>
                  <w:rPr>
                    <w:lang w:val="fr-FR"/>
                  </w:rPr>
                  <w:t>SL01</w:t>
                </w:r>
              </w:p>
            </w:tc>
          </w:sdtContent>
        </w:sdt>
        <w:tc>
          <w:tcPr>
            <w:tcW w:w="1170" w:type="dxa"/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  <w:r w:rsidRPr="00CD6754">
              <w:rPr>
                <w:lang w:val="fr-FR"/>
              </w:rPr>
              <w:t>Résultats 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52C7" w:rsidRPr="00CD6754" w:rsidRDefault="003952C7" w:rsidP="00CD2844">
            <w:pPr>
              <w:pStyle w:val="Classdetails"/>
              <w:framePr w:hSpace="0" w:wrap="auto" w:vAnchor="margin" w:hAnchor="text" w:yAlign="inline"/>
              <w:rPr>
                <w:lang w:val="fr-FR"/>
              </w:rPr>
            </w:pPr>
          </w:p>
        </w:tc>
      </w:tr>
    </w:tbl>
    <w:p w:rsidR="001E4A12" w:rsidRDefault="001E4A12" w:rsidP="00E26B62">
      <w:pPr>
        <w:rPr>
          <w:sz w:val="18"/>
        </w:rPr>
      </w:pPr>
    </w:p>
    <w:p w:rsidR="0005489E" w:rsidRDefault="0005489E" w:rsidP="00CE1BC8"/>
    <w:p w:rsidR="006C1CC2" w:rsidRDefault="00A77DD8" w:rsidP="00CE1BC8">
      <w:r>
        <w:t>Utiliser la datasheet du t</w:t>
      </w:r>
      <w:r w:rsidR="00CE1BC8" w:rsidRPr="00CE1BC8">
        <w:t>ransistor</w:t>
      </w:r>
      <w:r w:rsidR="00CE1BC8">
        <w:t xml:space="preserve"> </w:t>
      </w:r>
      <w:proofErr w:type="spellStart"/>
      <w:r w:rsidR="002F6154">
        <w:t>CSD18540Q5B</w:t>
      </w:r>
      <w:proofErr w:type="spellEnd"/>
      <w:r w:rsidR="002F6154">
        <w:t xml:space="preserve"> </w:t>
      </w:r>
      <w:r>
        <w:t>pour répondre aux questions suivantes :</w:t>
      </w:r>
    </w:p>
    <w:p w:rsidR="00A77DD8" w:rsidRPr="00CE1BC8" w:rsidRDefault="00A77DD8" w:rsidP="00CE1BC8">
      <w:pPr>
        <w:rPr>
          <w:i/>
        </w:rPr>
      </w:pPr>
    </w:p>
    <w:p w:rsidR="0021056B" w:rsidRDefault="0021056B" w:rsidP="0021056B">
      <w:pPr>
        <w:pStyle w:val="Paragraphedeliste"/>
        <w:numPr>
          <w:ilvl w:val="0"/>
          <w:numId w:val="1"/>
        </w:numPr>
      </w:pPr>
      <w:r>
        <w:t>Quelle est la température de jonction maximale (à chercher dans la datasheet</w:t>
      </w:r>
      <w:proofErr w:type="gramStart"/>
      <w:r>
        <w:t>)?</w:t>
      </w:r>
      <w:proofErr w:type="gramEnd"/>
    </w:p>
    <w:p w:rsidR="00EA1397" w:rsidRDefault="00EA1397" w:rsidP="00EA1397"/>
    <w:p w:rsidR="0021056B" w:rsidRPr="0021056B" w:rsidRDefault="00CE1BC8" w:rsidP="007E27DF">
      <w:pPr>
        <w:pStyle w:val="Paragraphedeliste"/>
        <w:numPr>
          <w:ilvl w:val="0"/>
          <w:numId w:val="1"/>
        </w:numPr>
        <w:ind w:left="708"/>
        <w:rPr>
          <w:color w:val="FF0000"/>
        </w:rPr>
      </w:pPr>
      <w:r>
        <w:t>Quelle est la</w:t>
      </w:r>
      <w:r w:rsidR="006C1CC2">
        <w:t xml:space="preserve"> </w:t>
      </w:r>
      <w:r w:rsidR="004B3777">
        <w:t>résistance thermique à utiliser pour un montage sans</w:t>
      </w:r>
      <w:r w:rsidR="002F6154">
        <w:t xml:space="preserve"> surface de cuivre de refroidissement </w:t>
      </w:r>
      <w:r w:rsidR="004A2DA3">
        <w:t>(à chercher dans la datasheet)</w:t>
      </w:r>
      <w:r w:rsidR="00D02252">
        <w:t xml:space="preserve"> </w:t>
      </w:r>
      <w:r w:rsidR="0021056B">
        <w:t xml:space="preserve">et quelle est la puissance maximale que peut être dissipée en continu avec cette résistance thermique et une température ambiante de </w:t>
      </w:r>
      <w:proofErr w:type="spellStart"/>
      <w:r w:rsidR="0021056B">
        <w:t>50°C</w:t>
      </w:r>
      <w:proofErr w:type="spellEnd"/>
      <w:r w:rsidR="0021056B">
        <w:t xml:space="preserve"> ?</w:t>
      </w:r>
    </w:p>
    <w:p w:rsidR="002C4BDC" w:rsidRDefault="002C4BDC" w:rsidP="00EA1397">
      <w:pPr>
        <w:pStyle w:val="Paragraphedeliste"/>
        <w:ind w:left="708"/>
        <w:rPr>
          <w:color w:val="FF0000"/>
        </w:rPr>
      </w:pPr>
    </w:p>
    <w:p w:rsidR="00EA1397" w:rsidRDefault="00EA1397" w:rsidP="0021056B">
      <w:pPr>
        <w:pStyle w:val="Paragraphedeliste"/>
      </w:pPr>
    </w:p>
    <w:p w:rsidR="00EA1397" w:rsidRPr="0021056B" w:rsidRDefault="00EA1397" w:rsidP="0021056B">
      <w:pPr>
        <w:pStyle w:val="Paragraphedeliste"/>
      </w:pPr>
    </w:p>
    <w:p w:rsidR="004B3777" w:rsidRDefault="004B3777" w:rsidP="004B3777">
      <w:pPr>
        <w:pStyle w:val="Paragraphedeliste"/>
        <w:numPr>
          <w:ilvl w:val="0"/>
          <w:numId w:val="1"/>
        </w:numPr>
      </w:pPr>
      <w:r>
        <w:t xml:space="preserve">Quelle est la résistance thermique à utiliser pour un montage avec </w:t>
      </w:r>
      <w:r w:rsidR="002F6154">
        <w:t xml:space="preserve">une surface de cuivre de refroidissement d’au minimum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643 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F6154">
        <w:t xml:space="preserve"> de surface et de 0.071 mm d’épaisseur </w:t>
      </w:r>
      <w:r w:rsidR="004A2DA3">
        <w:t>(à chercher dans la datasheet)</w:t>
      </w:r>
      <w:r w:rsidR="00CB2CE7" w:rsidRPr="00CB2CE7">
        <w:t xml:space="preserve"> </w:t>
      </w:r>
      <w:r w:rsidR="00CB2CE7">
        <w:t>et quelle est la puissance maximale que peut être dissipée en continu</w:t>
      </w:r>
      <w:r w:rsidR="0021056B">
        <w:t xml:space="preserve"> avec cette résistance thermique et </w:t>
      </w:r>
      <w:r w:rsidR="0021056B">
        <w:t xml:space="preserve">une température ambiante de </w:t>
      </w:r>
      <w:proofErr w:type="spellStart"/>
      <w:r w:rsidR="0021056B">
        <w:t>50°C</w:t>
      </w:r>
      <w:proofErr w:type="spellEnd"/>
      <w:r w:rsidR="0021056B">
        <w:t xml:space="preserve"> </w:t>
      </w:r>
      <w:r w:rsidR="00CB2CE7">
        <w:t>?</w:t>
      </w:r>
    </w:p>
    <w:p w:rsidR="0005489E" w:rsidRDefault="0005489E" w:rsidP="00EA1397">
      <w:pPr>
        <w:ind w:left="720"/>
        <w:rPr>
          <w:color w:val="FF0000"/>
          <w:sz w:val="20"/>
          <w:szCs w:val="20"/>
        </w:rPr>
      </w:pPr>
    </w:p>
    <w:p w:rsidR="00EA1397" w:rsidRDefault="00EA1397" w:rsidP="00EA1397">
      <w:pPr>
        <w:ind w:left="720"/>
        <w:rPr>
          <w:color w:val="FF0000"/>
          <w:sz w:val="20"/>
          <w:szCs w:val="20"/>
        </w:rPr>
      </w:pPr>
    </w:p>
    <w:p w:rsidR="00EA1397" w:rsidRDefault="00EA1397" w:rsidP="0005489E">
      <w:pPr>
        <w:ind w:left="708"/>
        <w:rPr>
          <w:color w:val="FF0000"/>
        </w:rPr>
      </w:pPr>
    </w:p>
    <w:p w:rsidR="00EA1397" w:rsidRPr="002F6154" w:rsidRDefault="00EA1397" w:rsidP="0005489E">
      <w:pPr>
        <w:ind w:left="708"/>
        <w:rPr>
          <w:color w:val="FF0000"/>
        </w:rPr>
      </w:pPr>
      <w:bookmarkStart w:id="0" w:name="_GoBack"/>
      <w:bookmarkEnd w:id="0"/>
    </w:p>
    <w:p w:rsidR="002C4BDC" w:rsidRDefault="002C4BDC" w:rsidP="002C4BDC">
      <w:pPr>
        <w:pStyle w:val="Paragraphedeliste"/>
        <w:numPr>
          <w:ilvl w:val="0"/>
          <w:numId w:val="1"/>
        </w:numPr>
      </w:pPr>
      <w:r>
        <w:t xml:space="preserve">Calculer la puissance </w:t>
      </w:r>
      <w:r w:rsidR="0005489E">
        <w:t xml:space="preserve">continue </w:t>
      </w:r>
      <w:r>
        <w:t xml:space="preserve">maximale que l’on peut dissiper </w:t>
      </w:r>
      <w:r w:rsidR="004A2DA3">
        <w:t>sur la jonction dans les conditions suivantes</w:t>
      </w:r>
      <w:r>
        <w:t> :</w:t>
      </w:r>
    </w:p>
    <w:p w:rsidR="002C4BDC" w:rsidRDefault="002C4BDC" w:rsidP="0005489E">
      <w:pPr>
        <w:pStyle w:val="Paragraphedeliste"/>
        <w:ind w:left="1440"/>
      </w:pPr>
      <w:r>
        <w:t xml:space="preserve">Température </w:t>
      </w:r>
      <w:r w:rsidR="0005489E">
        <w:t>boitier</w:t>
      </w:r>
      <w:r>
        <w:t> : 50° C</w:t>
      </w:r>
      <w:r w:rsidR="007533E6">
        <w:tab/>
      </w:r>
      <w:r w:rsidR="007533E6">
        <w:tab/>
        <w:t>Température de jonction : 150°C</w:t>
      </w:r>
    </w:p>
    <w:p w:rsidR="008164C8" w:rsidRPr="00EA1397" w:rsidRDefault="008164C8" w:rsidP="00A243D9">
      <w:pPr>
        <w:ind w:left="708"/>
        <w:rPr>
          <w:rFonts w:eastAsiaTheme="minorEastAsia"/>
          <w:color w:val="FF0000"/>
          <w:sz w:val="28"/>
        </w:rPr>
      </w:pPr>
    </w:p>
    <w:p w:rsidR="00EA1397" w:rsidRDefault="00EA1397" w:rsidP="00A243D9">
      <w:pPr>
        <w:ind w:left="708"/>
        <w:rPr>
          <w:rFonts w:eastAsiaTheme="minorEastAsia"/>
          <w:lang w:val="en-GB"/>
        </w:rPr>
      </w:pPr>
    </w:p>
    <w:p w:rsidR="00EA1397" w:rsidRDefault="00EA1397" w:rsidP="00A243D9">
      <w:pPr>
        <w:ind w:left="708"/>
        <w:rPr>
          <w:rFonts w:eastAsiaTheme="minorEastAsia"/>
          <w:lang w:val="en-GB"/>
        </w:rPr>
      </w:pPr>
    </w:p>
    <w:p w:rsidR="00EA1397" w:rsidRPr="00EA1397" w:rsidRDefault="00EA1397" w:rsidP="00A243D9">
      <w:pPr>
        <w:ind w:left="708"/>
        <w:rPr>
          <w:rFonts w:eastAsiaTheme="minorEastAsia"/>
          <w:lang w:val="en-GB"/>
        </w:rPr>
      </w:pPr>
    </w:p>
    <w:p w:rsidR="004A2DA3" w:rsidRDefault="004A2DA3" w:rsidP="004A2DA3">
      <w:pPr>
        <w:pStyle w:val="Paragraphedeliste"/>
        <w:numPr>
          <w:ilvl w:val="0"/>
          <w:numId w:val="1"/>
        </w:numPr>
      </w:pPr>
      <w:r>
        <w:t>Calculer la puissance</w:t>
      </w:r>
      <w:r w:rsidR="00D02252">
        <w:t xml:space="preserve"> instantanée</w:t>
      </w:r>
      <w:r>
        <w:t xml:space="preserve"> que l’on peut dissiper sur la jonction dans les conditions suivantes :</w:t>
      </w:r>
    </w:p>
    <w:p w:rsidR="004A2DA3" w:rsidRDefault="004A2DA3" w:rsidP="007533E6">
      <w:pPr>
        <w:pStyle w:val="Paragraphedeliste"/>
        <w:numPr>
          <w:ilvl w:val="1"/>
          <w:numId w:val="1"/>
        </w:numPr>
      </w:pPr>
      <w:r>
        <w:t xml:space="preserve">Température </w:t>
      </w:r>
      <w:r w:rsidR="00D02252">
        <w:t>du boitier</w:t>
      </w:r>
      <w:r>
        <w:t xml:space="preserve"> : </w:t>
      </w:r>
      <w:r w:rsidR="00D02252">
        <w:t>75</w:t>
      </w:r>
      <w:r>
        <w:t>° C</w:t>
      </w:r>
      <w:r w:rsidR="007533E6">
        <w:tab/>
      </w:r>
      <w:r w:rsidR="007533E6">
        <w:tab/>
        <w:t>Température de jonction : 150°C</w:t>
      </w:r>
    </w:p>
    <w:p w:rsidR="004A2DA3" w:rsidRPr="00673AF1" w:rsidRDefault="00D02252" w:rsidP="004A2DA3">
      <w:pPr>
        <w:pStyle w:val="Paragraphedeliste"/>
        <w:numPr>
          <w:ilvl w:val="1"/>
          <w:numId w:val="1"/>
        </w:numPr>
      </w:pPr>
      <w:r>
        <w:t xml:space="preserve">Surface de refroidissement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643 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4A2DA3" w:rsidRDefault="00A77DD8" w:rsidP="004A2DA3">
      <w:pPr>
        <w:pStyle w:val="Paragraphedeliste"/>
        <w:numPr>
          <w:ilvl w:val="1"/>
          <w:numId w:val="1"/>
        </w:numPr>
      </w:pPr>
      <w:r>
        <w:t>Fréquence de commutation de 1 kHz</w:t>
      </w:r>
    </w:p>
    <w:p w:rsidR="00A77DD8" w:rsidRDefault="00A77DD8" w:rsidP="004A2DA3">
      <w:pPr>
        <w:pStyle w:val="Paragraphedeliste"/>
        <w:numPr>
          <w:ilvl w:val="1"/>
          <w:numId w:val="1"/>
        </w:numPr>
      </w:pPr>
      <w:r>
        <w:t>Temps de commutation de 100 microsecondes</w:t>
      </w:r>
    </w:p>
    <w:p w:rsidR="008164C8" w:rsidRPr="00EA1397" w:rsidRDefault="008164C8" w:rsidP="00AD048A">
      <w:pPr>
        <w:ind w:left="1080"/>
        <w:rPr>
          <w:rFonts w:eastAsiaTheme="minorEastAsia"/>
          <w:color w:val="FF0000"/>
          <w:sz w:val="28"/>
        </w:rPr>
      </w:pPr>
    </w:p>
    <w:p w:rsidR="00EA1397" w:rsidRPr="00EA1397" w:rsidRDefault="00EA1397" w:rsidP="00AD048A">
      <w:pPr>
        <w:ind w:left="1080"/>
        <w:rPr>
          <w:rFonts w:eastAsiaTheme="minorEastAsia"/>
          <w:color w:val="FF0000"/>
          <w:lang w:val="en-GB"/>
        </w:rPr>
      </w:pPr>
    </w:p>
    <w:sectPr w:rsidR="00EA1397" w:rsidRPr="00EA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189E"/>
    <w:multiLevelType w:val="hybridMultilevel"/>
    <w:tmpl w:val="8DD0F6C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6764"/>
    <w:multiLevelType w:val="hybridMultilevel"/>
    <w:tmpl w:val="1D04AC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7461"/>
    <w:multiLevelType w:val="hybridMultilevel"/>
    <w:tmpl w:val="E580DCE4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2E"/>
    <w:rsid w:val="00014C2D"/>
    <w:rsid w:val="00030658"/>
    <w:rsid w:val="0004146E"/>
    <w:rsid w:val="0005489E"/>
    <w:rsid w:val="00065DF7"/>
    <w:rsid w:val="000B3CA6"/>
    <w:rsid w:val="000D403F"/>
    <w:rsid w:val="0012015B"/>
    <w:rsid w:val="00195D3A"/>
    <w:rsid w:val="001D29AC"/>
    <w:rsid w:val="001E4A12"/>
    <w:rsid w:val="0021056B"/>
    <w:rsid w:val="00257B9E"/>
    <w:rsid w:val="002B149D"/>
    <w:rsid w:val="002C4BDC"/>
    <w:rsid w:val="002D0936"/>
    <w:rsid w:val="002D100B"/>
    <w:rsid w:val="002F5F30"/>
    <w:rsid w:val="002F5FE7"/>
    <w:rsid w:val="002F6154"/>
    <w:rsid w:val="00301C00"/>
    <w:rsid w:val="0030694E"/>
    <w:rsid w:val="00315848"/>
    <w:rsid w:val="003952C7"/>
    <w:rsid w:val="00451474"/>
    <w:rsid w:val="00473E77"/>
    <w:rsid w:val="00475BC1"/>
    <w:rsid w:val="004A2DA3"/>
    <w:rsid w:val="004B3777"/>
    <w:rsid w:val="00536E6B"/>
    <w:rsid w:val="00565965"/>
    <w:rsid w:val="00591593"/>
    <w:rsid w:val="005945A2"/>
    <w:rsid w:val="005D4EDF"/>
    <w:rsid w:val="005F5884"/>
    <w:rsid w:val="00626F01"/>
    <w:rsid w:val="0066036B"/>
    <w:rsid w:val="0067042E"/>
    <w:rsid w:val="00673AF1"/>
    <w:rsid w:val="00675A4A"/>
    <w:rsid w:val="006C1CC2"/>
    <w:rsid w:val="006F0622"/>
    <w:rsid w:val="007271B4"/>
    <w:rsid w:val="007533E6"/>
    <w:rsid w:val="00777684"/>
    <w:rsid w:val="007B2F8F"/>
    <w:rsid w:val="007B42BD"/>
    <w:rsid w:val="007B5919"/>
    <w:rsid w:val="007E27DF"/>
    <w:rsid w:val="007F2E5F"/>
    <w:rsid w:val="008164C8"/>
    <w:rsid w:val="008F1B78"/>
    <w:rsid w:val="009328E7"/>
    <w:rsid w:val="00940539"/>
    <w:rsid w:val="009B7199"/>
    <w:rsid w:val="00A243D9"/>
    <w:rsid w:val="00A360D7"/>
    <w:rsid w:val="00A77DD8"/>
    <w:rsid w:val="00A93BEC"/>
    <w:rsid w:val="00AD048A"/>
    <w:rsid w:val="00AE0BCB"/>
    <w:rsid w:val="00C06044"/>
    <w:rsid w:val="00C66342"/>
    <w:rsid w:val="00CB2CE7"/>
    <w:rsid w:val="00CB5B89"/>
    <w:rsid w:val="00CE1BC8"/>
    <w:rsid w:val="00CF023D"/>
    <w:rsid w:val="00D02252"/>
    <w:rsid w:val="00D53877"/>
    <w:rsid w:val="00D54343"/>
    <w:rsid w:val="00DB40E7"/>
    <w:rsid w:val="00E231D4"/>
    <w:rsid w:val="00E26B62"/>
    <w:rsid w:val="00E50607"/>
    <w:rsid w:val="00EA1397"/>
    <w:rsid w:val="00EB0165"/>
    <w:rsid w:val="00ED6901"/>
    <w:rsid w:val="00F071ED"/>
    <w:rsid w:val="00F85B67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7E9BF"/>
  <w15:docId w15:val="{5F5B3016-CA5B-4BEA-AC49-E46E8BF8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9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2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F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4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E26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5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91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B591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2F5F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14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stname">
    <w:name w:val="Test name"/>
    <w:basedOn w:val="Titre1"/>
    <w:qFormat/>
    <w:rsid w:val="003952C7"/>
    <w:pPr>
      <w:spacing w:before="0" w:after="120" w:line="360" w:lineRule="auto"/>
    </w:pPr>
    <w:rPr>
      <w:color w:val="auto"/>
      <w:lang w:val="en-US"/>
    </w:rPr>
  </w:style>
  <w:style w:type="paragraph" w:customStyle="1" w:styleId="Classdetails">
    <w:name w:val="Class details"/>
    <w:basedOn w:val="Normal"/>
    <w:qFormat/>
    <w:rsid w:val="003952C7"/>
    <w:pPr>
      <w:framePr w:hSpace="187" w:wrap="around" w:vAnchor="page" w:hAnchor="margin" w:y="2579"/>
      <w:spacing w:before="120" w:line="240" w:lineRule="auto"/>
      <w:ind w:left="720" w:hanging="720"/>
    </w:pPr>
    <w:rPr>
      <w:rFonts w:eastAsia="Century Gothic" w:cs="Times New Roman"/>
      <w:sz w:val="21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12015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764FDFD03049A4AAB30DC1EFCB12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4ED98B-B0D2-42A2-9E4E-84C901B0C1D2}"/>
      </w:docPartPr>
      <w:docPartBody>
        <w:p w:rsidR="00292F8F" w:rsidRDefault="00502A32" w:rsidP="00502A32">
          <w:pPr>
            <w:pStyle w:val="E9764FDFD03049A4AAB30DC1EFCB12C9"/>
          </w:pPr>
          <w:r>
            <w:t>[Type your name]</w:t>
          </w:r>
        </w:p>
      </w:docPartBody>
    </w:docPart>
    <w:docPart>
      <w:docPartPr>
        <w:name w:val="AB5150175A6642C3922D6F2BFE24D3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A8669-8FED-4E43-B0A2-673C87AE8BA0}"/>
      </w:docPartPr>
      <w:docPartBody>
        <w:p w:rsidR="00292F8F" w:rsidRDefault="00502A32" w:rsidP="00502A32">
          <w:pPr>
            <w:pStyle w:val="AB5150175A6642C3922D6F2BFE24D300"/>
          </w:pPr>
          <w:r>
            <w:t>[Type a class name]</w:t>
          </w:r>
        </w:p>
      </w:docPartBody>
    </w:docPart>
    <w:docPart>
      <w:docPartPr>
        <w:name w:val="37DB78FC864240A78D0499FFFC394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A06D57-93A8-4A1A-BB18-56890FCA620D}"/>
      </w:docPartPr>
      <w:docPartBody>
        <w:p w:rsidR="00292F8F" w:rsidRDefault="00502A32" w:rsidP="00502A32">
          <w:pPr>
            <w:pStyle w:val="37DB78FC864240A78D0499FFFC394FA5"/>
          </w:pPr>
          <w:r>
            <w:t>[Type a period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A32"/>
    <w:rsid w:val="0007717A"/>
    <w:rsid w:val="002215DD"/>
    <w:rsid w:val="00292F8F"/>
    <w:rsid w:val="004D3A04"/>
    <w:rsid w:val="00502A32"/>
    <w:rsid w:val="005C1060"/>
    <w:rsid w:val="005C5DB1"/>
    <w:rsid w:val="005D26A7"/>
    <w:rsid w:val="00631C5C"/>
    <w:rsid w:val="00682240"/>
    <w:rsid w:val="006C7AA5"/>
    <w:rsid w:val="00A37805"/>
    <w:rsid w:val="00A87F73"/>
    <w:rsid w:val="00B5741E"/>
    <w:rsid w:val="00C73DD4"/>
    <w:rsid w:val="00E118F6"/>
    <w:rsid w:val="00E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5DB1"/>
    <w:rPr>
      <w:color w:val="808080"/>
    </w:rPr>
  </w:style>
  <w:style w:type="paragraph" w:customStyle="1" w:styleId="E9764FDFD03049A4AAB30DC1EFCB12C9">
    <w:name w:val="E9764FDFD03049A4AAB30DC1EFCB12C9"/>
    <w:rsid w:val="00502A32"/>
  </w:style>
  <w:style w:type="paragraph" w:customStyle="1" w:styleId="AB5150175A6642C3922D6F2BFE24D300">
    <w:name w:val="AB5150175A6642C3922D6F2BFE24D300"/>
    <w:rsid w:val="00502A32"/>
  </w:style>
  <w:style w:type="paragraph" w:customStyle="1" w:styleId="37DB78FC864240A78D0499FFFC394FA5">
    <w:name w:val="37DB78FC864240A78D0499FFFC394FA5"/>
    <w:rsid w:val="00502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8" ma:contentTypeDescription="Crée un document." ma:contentTypeScope="" ma:versionID="311068d5067962655539449fbf50ebc3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5932bf41f70dec121becca9f9286726a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B8B26-0961-4AFB-BCC2-A60D9DF52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7ABF3-5568-4FF3-8248-38A8373A5E37}"/>
</file>

<file path=customXml/itemProps3.xml><?xml version="1.0" encoding="utf-8"?>
<ds:datastoreItem xmlns:ds="http://schemas.openxmlformats.org/officeDocument/2006/customXml" ds:itemID="{8E6E31F1-C52B-4466-85CE-66F2B07552A4}"/>
</file>

<file path=customXml/itemProps4.xml><?xml version="1.0" encoding="utf-8"?>
<ds:datastoreItem xmlns:ds="http://schemas.openxmlformats.org/officeDocument/2006/customXml" ds:itemID="{3AE73294-7508-47AF-973E-C9454DAFE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Linsi-tech Sàrl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 Bonzon</dc:creator>
  <cp:lastModifiedBy>michel Bonzon</cp:lastModifiedBy>
  <cp:revision>3</cp:revision>
  <dcterms:created xsi:type="dcterms:W3CDTF">2019-04-30T13:29:00Z</dcterms:created>
  <dcterms:modified xsi:type="dcterms:W3CDTF">2019-04-30T13:29:00Z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