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4: IV (2SLS) Estimates</w:t>
      </w:r>
    </w:p>
    <w:tbl>
      <w:tblPr>
        <w:tblStyle w:val="Table"/>
        <w:tblW w:type="pct" w:w="4444"/>
        <w:tblLayout w:type="fixed"/>
        <w:tblLook w:firstRow="1" w:lastRow="1" w:firstColumn="0" w:lastColumn="0" w:noHBand="0" w:noVBand="0" w:val="0020"/>
        <w:tblCaption w:val="Table 4: IV (2SLS) Estimates"/>
      </w:tblPr>
      <w:tblGrid>
        <w:gridCol w:w="1980"/>
        <w:gridCol w:w="1210"/>
        <w:gridCol w:w="198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LFP (IV)</w:t>
            </w:r>
          </w:p>
        </w:tc>
        <w:tc>
          <w:tcPr/>
          <w:p>
            <w:pPr>
              <w:pStyle w:val="Compact"/>
            </w:pPr>
            <w:r>
              <w:t xml:space="preserve">Employment (IV)</w:t>
            </w:r>
          </w:p>
        </w:tc>
        <w:tc>
          <w:tcPr/>
          <w:p>
            <w:pPr>
              <w:pStyle w:val="Compact"/>
            </w:pPr>
            <w:r>
              <w:t xml:space="preserve">Full-Time (IV)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log(Slots) [IV]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0.029*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2026-07-17T10:37:24Z</dcterms:created>
  <dcterms:modified xsi:type="dcterms:W3CDTF">2026-07-17T10:37:24Z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