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Frontend Guide</w:t>
      </w:r>
    </w:p>
    <w:p>
      <w:pPr>
        <w:pStyle w:val="Subtitle"/>
      </w:pPr>
      <w:r>
        <w:t xml:space="preserve">Team Bastion · Oct 21, 2026 · Owners: Technical Lead (reply layout, audit record), Communications &amp; Demo Lead (demo)</w:t>
      </w:r>
    </w:p>
    <w:p>
      <w:pPr>
        <w:pStyle w:val="FirstParagraph"/>
      </w:pPr>
      <w:r>
        <w:t xml:space="preserve">The frontend is the watsonx Orchestrate chat. We do not build a custom web app: the program judges the agent, and the chat is what the analyst uses. The old Next.js CyberShield dashboard is out of scope, and any new UI needs Aldo’s sign-off first. So frontend work means three things: the reply layout, the audit record and the demo.</w:t>
      </w:r>
    </w:p>
    <w:bookmarkStart w:id="12" w:name="the-chat-screen"/>
    <w:p>
      <w:pPr>
        <w:pStyle w:val="Heading1"/>
      </w:pPr>
      <w:r>
        <w:t xml:space="preserve">1. The chat screen</w:t>
      </w:r>
    </w:p>
    <w:bookmarkStart w:id="9" w:name="what-the-analyst-types"/>
    <w:p>
      <w:pPr>
        <w:pStyle w:val="Heading2"/>
      </w:pPr>
      <w:r>
        <w:t xml:space="preserve">What the analyst types</w:t>
      </w:r>
    </w:p>
    <w:p>
      <w:pPr>
        <w:pStyle w:val="FirstParagraph"/>
      </w:pPr>
      <w:r>
        <w:t xml:space="preserve">One alert per message, in this exact form:</w:t>
      </w:r>
    </w:p>
    <w:p>
      <w:pPr>
        <w:pStyle w:val="SourceCode"/>
      </w:pPr>
      <w:r>
        <w:rPr>
          <w:rStyle w:val="VerbatimChar"/>
        </w:rPr>
        <w:t xml:space="preserve">Suspicious login alert: user_id jdoe, ip 203.0.113.66, device_id win-unknown-7f2, geo Lagos, NG, timestamp 2026-10-02T03:14:00Z</w:t>
      </w:r>
    </w:p>
    <w:p>
      <w:pPr>
        <w:pStyle w:val="FirstParagraph"/>
      </w:pPr>
      <w:r>
        <w:t xml:space="preserve">Then one of: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(with a reason), or the name of another option.</w:t>
      </w:r>
    </w:p>
    <w:bookmarkEnd w:id="9"/>
    <w:bookmarkStart w:id="10" w:name="what-sentinel-writes-back"/>
    <w:p>
      <w:pPr>
        <w:pStyle w:val="Heading2"/>
      </w:pPr>
      <w:r>
        <w:t xml:space="preserve">What Sentinel writes back</w:t>
      </w:r>
    </w:p>
    <w:p>
      <w:pPr>
        <w:pStyle w:val="FirstParagraph"/>
      </w:pPr>
      <w:r>
        <w:t xml:space="preserve">Every answer follows this layout. It is set in</w:t>
      </w:r>
      <w:r>
        <w:t xml:space="preserve"> </w:t>
      </w:r>
      <w:r>
        <w:rPr>
          <w:rStyle w:val="VerbatimChar"/>
        </w:rPr>
        <w:t xml:space="preserve">agents/sentinel.instructions.md</w:t>
      </w:r>
      <w:r>
        <w:t xml:space="preserve">; change it there, not in the chat.</w:t>
      </w:r>
    </w:p>
    <w:p>
      <w:pPr>
        <w:pStyle w:val="SourceCode"/>
      </w:pPr>
      <w:r>
        <w:rPr>
          <w:rStyle w:val="VerbatimChar"/>
        </w:rPr>
        <w:t xml:space="preserve">Flagged: 2 failed sign-in attempts in 5 minutes      &lt;- only when failure_flag is true</w:t>
      </w:r>
      <w:r>
        <w:br/>
      </w:r>
      <w:r>
        <w:br/>
      </w:r>
      <w:r>
        <w:rPr>
          <w:rStyle w:val="VerbatimChar"/>
        </w:rPr>
        <w:t xml:space="preserve">Verdict: Critical (100/100)</w:t>
      </w:r>
      <w:r>
        <w:br/>
      </w:r>
      <w:r>
        <w:br/>
      </w:r>
      <w:r>
        <w:rPr>
          <w:rStyle w:val="VerbatimChar"/>
        </w:rPr>
        <w:t xml:space="preserve">Why:</w:t>
      </w:r>
      <w:r>
        <w:br/>
      </w:r>
      <w:r>
        <w:rPr>
          <w:rStyle w:val="VerbatimChar"/>
        </w:rPr>
        <w:t xml:space="preserve">- Login from Lagos 40 minutes after a Newark session</w:t>
      </w:r>
      <w:r>
        <w:br/>
      </w:r>
      <w:r>
        <w:rPr>
          <w:rStyle w:val="VerbatimChar"/>
        </w:rPr>
        <w:t xml:space="preserve">- Device has never been seen for this user</w:t>
      </w:r>
      <w:r>
        <w:br/>
      </w:r>
      <w:r>
        <w:rPr>
          <w:rStyle w:val="VerbatimChar"/>
        </w:rPr>
        <w:t xml:space="preserve">- IP is on the bank's threat list</w:t>
      </w:r>
      <w:r>
        <w:br/>
      </w:r>
      <w:r>
        <w:br/>
      </w:r>
      <w:r>
        <w:rPr>
          <w:rStyle w:val="VerbatimChar"/>
        </w:rPr>
        <w:t xml:space="preserve">Investigation:</w:t>
      </w:r>
      <w:r>
        <w:br/>
      </w:r>
      <w:r>
        <w:rPr>
          <w:rStyle w:val="VerbatimChar"/>
        </w:rPr>
        <w:t xml:space="preserve">- Called assess_login. Learned: four warning signs. Unknown: is the IP part of a live campaign?</w:t>
      </w:r>
      <w:r>
        <w:br/>
      </w:r>
      <w:r>
        <w:rPr>
          <w:rStyle w:val="VerbatimChar"/>
        </w:rPr>
        <w:t xml:space="preserve">- Called get_live_threats. Learned: matches a current credential-theft campaign. Evidence is sufficient.</w:t>
      </w:r>
      <w:r>
        <w:br/>
      </w:r>
      <w:r>
        <w:br/>
      </w:r>
      <w:r>
        <w:rPr>
          <w:rStyle w:val="VerbatimChar"/>
        </w:rPr>
        <w:t xml:space="preserve">Recommendations, best first:</w:t>
      </w:r>
      <w:r>
        <w:br/>
      </w:r>
      <w:r>
        <w:rPr>
          <w:rStyle w:val="VerbatimChar"/>
        </w:rPr>
        <w:t xml:space="preserve">1. Revoke session and reset credential: active takeover pattern on a stolen password</w:t>
      </w:r>
      <w:r>
        <w:br/>
      </w:r>
      <w:r>
        <w:rPr>
          <w:rStyle w:val="VerbatimChar"/>
        </w:rPr>
        <w:t xml:space="preserve">2. Revoke session only: stops this session but leaves the stolen password usable</w:t>
      </w:r>
      <w:r>
        <w:br/>
      </w:r>
      <w:r>
        <w:rPr>
          <w:rStyle w:val="VerbatimChar"/>
        </w:rPr>
        <w:t xml:space="preserve">3. Step-up MFA: ruled out, the attacker is already signed in</w:t>
      </w:r>
      <w:r>
        <w:br/>
      </w:r>
      <w:r>
        <w:br/>
      </w:r>
      <w:r>
        <w:rPr>
          <w:rStyle w:val="VerbatimChar"/>
        </w:rPr>
        <w:t xml:space="preserve">Awaiting your approval. Reply Approve, Reject, or name a different option.</w:t>
      </w:r>
    </w:p>
    <w:p>
      <w:pPr>
        <w:pStyle w:val="FirstParagraph"/>
      </w:pPr>
      <w:r>
        <w:t xml:space="preserve">This example is illustrative. The agent’s real wording will differ; the structure must not.</w:t>
      </w:r>
    </w:p>
    <w:bookmarkEnd w:id="10"/>
    <w:bookmarkStart w:id="11" w:name="layout-rules"/>
    <w:p>
      <w:pPr>
        <w:pStyle w:val="Heading2"/>
      </w:pPr>
      <w:r>
        <w:t xml:space="preserve">Layout rules</w:t>
      </w:r>
    </w:p>
    <w:p>
      <w:pPr>
        <w:pStyle w:val="Compact"/>
        <w:numPr>
          <w:ilvl w:val="0"/>
          <w:numId w:val="1001"/>
        </w:numPr>
      </w:pPr>
      <w:r>
        <w:t xml:space="preserve">Plain banking language. No internal field names unless the analyst asks.</w:t>
      </w:r>
    </w:p>
    <w:p>
      <w:pPr>
        <w:pStyle w:val="Compact"/>
        <w:numPr>
          <w:ilvl w:val="0"/>
          <w:numId w:val="1001"/>
        </w:numPr>
      </w:pPr>
      <w:r>
        <w:t xml:space="preserve">“Why”</w:t>
      </w:r>
      <w:r>
        <w:t xml:space="preserve"> </w:t>
      </w:r>
      <w:r>
        <w:t xml:space="preserve">has 2 or 3 bullets, one per signal that matters.</w:t>
      </w:r>
    </w:p>
    <w:p>
      <w:pPr>
        <w:pStyle w:val="Compact"/>
        <w:numPr>
          <w:ilvl w:val="0"/>
          <w:numId w:val="1001"/>
        </w:numPr>
      </w:pPr>
      <w:r>
        <w:t xml:space="preserve">Every recommendation has a reason; the lower ones say what risk they leave open.</w:t>
      </w:r>
    </w:p>
    <w:p>
      <w:pPr>
        <w:pStyle w:val="Compact"/>
        <w:numPr>
          <w:ilvl w:val="0"/>
          <w:numId w:val="1001"/>
        </w:numPr>
      </w:pPr>
      <w:r>
        <w:t xml:space="preserve">The last line is always the approval request.</w:t>
      </w:r>
    </w:p>
    <w:bookmarkEnd w:id="11"/>
    <w:bookmarkEnd w:id="12"/>
    <w:bookmarkStart w:id="14" w:name="after-the-analyst-answers"/>
    <w:p>
      <w:pPr>
        <w:pStyle w:val="Heading1"/>
      </w:pPr>
      <w:r>
        <w:t xml:space="preserve">2. After the analyst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Analyst says</w:t>
            </w:r>
          </w:p>
        </w:tc>
        <w:tc>
          <w:tcPr/>
          <w:p>
            <w:pPr>
              <w:pStyle w:val="Compact"/>
            </w:pPr>
            <w:r>
              <w:t xml:space="preserve">Sentinel 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  <w:r>
              <w:t xml:space="preserve"> </w:t>
            </w:r>
            <w:r>
              <w:t xml:space="preserve">“Approved by the analyst. Not executed by Sentinel.”</w:t>
            </w:r>
            <w:r>
              <w:t xml:space="preserve"> </w:t>
            </w:r>
            <w:r>
              <w:t xml:space="preserve">and give one audit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Reject, with a reason</w:t>
            </w:r>
          </w:p>
        </w:tc>
        <w:tc>
          <w:tcPr/>
          <w:p>
            <w:pPr>
              <w:pStyle w:val="Compact"/>
            </w:pPr>
            <w:r>
              <w:t xml:space="preserve">Acknowledge it, record the reason, keep the case open, offer the next-best option and the risk it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 option</w:t>
            </w:r>
          </w:p>
        </w:tc>
        <w:tc>
          <w:tcPr/>
          <w:p>
            <w:pPr>
              <w:pStyle w:val="Compact"/>
            </w:pPr>
            <w:r>
              <w:t xml:space="preserve">Confirm the choice and give the audit line</w:t>
            </w:r>
          </w:p>
        </w:tc>
      </w:tr>
    </w:tbl>
    <w:bookmarkStart w:id="13" w:name="the-audit-record"/>
    <w:p>
      <w:pPr>
        <w:pStyle w:val="Heading2"/>
      </w:pPr>
      <w:r>
        <w:t xml:space="preserve">The audit record</w:t>
      </w:r>
    </w:p>
    <w:p>
      <w:pPr>
        <w:pStyle w:val="FirstParagraph"/>
      </w:pPr>
      <w:r>
        <w:t xml:space="preserve">One record per recommendation and decision. The Technical Lead finalizes the format by Oct 29; start from this: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"2026-10-14T15:02:11Z"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"mgarcia"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"203.0.113.66"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"tools_called"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"assess_login"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"get_live_threats"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"revoke_session"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device and threat-listed IP; IP matches a current campaign."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"analyst_decision"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executed</w:t>
      </w:r>
      <w:r>
        <w:t xml:space="preserve"> </w:t>
      </w:r>
      <w:r>
        <w:t xml:space="preserve">is always false for Sentinel. The bank’s own team carries out approved actions.</w:t>
      </w:r>
    </w:p>
    <w:bookmarkEnd w:id="13"/>
    <w:bookmarkEnd w:id="14"/>
    <w:bookmarkStart w:id="16" w:name="the-demo"/>
    <w:p>
      <w:pPr>
        <w:pStyle w:val="Heading1"/>
      </w:pPr>
      <w:r>
        <w:t xml:space="preserve">3. The demo</w:t>
      </w:r>
    </w:p>
    <w:p>
      <w:pPr>
        <w:pStyle w:val="Compact"/>
        <w:numPr>
          <w:ilvl w:val="0"/>
          <w:numId w:val="1002"/>
        </w:numPr>
      </w:pPr>
      <w:r>
        <w:t xml:space="preserve">Record only after QA confirms the</w:t>
      </w:r>
      <w:r>
        <w:t xml:space="preserve"> </w:t>
      </w:r>
      <w:r>
        <w:rPr>
          <w:rStyle w:val="VerbatimChar"/>
        </w:rPr>
        <w:t xml:space="preserve">v1-tested</w:t>
      </w:r>
      <w:r>
        <w:t xml:space="preserve"> </w:t>
      </w:r>
      <w:r>
        <w:t xml:space="preserve">tag. Re-record if the agent changes before the Nov 8 freeze.</w:t>
      </w:r>
    </w:p>
    <w:p>
      <w:pPr>
        <w:pStyle w:val="Compact"/>
        <w:numPr>
          <w:ilvl w:val="0"/>
          <w:numId w:val="1002"/>
        </w:numPr>
      </w:pPr>
      <w:r>
        <w:t xml:space="preserve">If Orchestrate is down at the Oct 25 checkpoint, run</w:t>
      </w:r>
      <w:r>
        <w:t xml:space="preserve"> </w:t>
      </w:r>
      <w:r>
        <w:rPr>
          <w:rStyle w:val="VerbatimChar"/>
        </w:rPr>
        <w:t xml:space="preserve">py sample_run.py</w:t>
      </w:r>
      <w:r>
        <w:t xml:space="preserve"> </w:t>
      </w:r>
      <w:r>
        <w:t xml:space="preserve">from the sentinel-iam repo and say clearly that it’s the prototype.</w:t>
      </w:r>
    </w:p>
    <w:bookmarkStart w:id="15" w:name="minute-video-storyboard"/>
    <w:p>
      <w:pPr>
        <w:pStyle w:val="Heading2"/>
      </w:pPr>
      <w:r>
        <w:t xml:space="preserve">3-minute video storyboard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to 0:20</w:t>
            </w:r>
          </w:p>
        </w:tc>
        <w:tc>
          <w:tcPr/>
          <w:p>
            <w:pPr>
              <w:pStyle w:val="Compact"/>
            </w:pPr>
            <w:r>
              <w:t xml:space="preserve">The problem, with one statistic from</w:t>
            </w:r>
            <w:r>
              <w:t xml:space="preserve"> </w:t>
            </w:r>
            <w:r>
              <w:rPr>
                <w:rStyle w:val="VerbatimChar"/>
              </w:rPr>
              <w:t xml:space="preserve">docs/research/research-evidence.md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 to 0:50</w:t>
            </w:r>
          </w:p>
        </w:tc>
        <w:tc>
          <w:tcPr/>
          <w:p>
            <w:pPr>
              <w:pStyle w:val="Compact"/>
            </w:pPr>
            <w:r>
              <w:t xml:space="preserve">Meet Sentinel and the human-approval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to 1:50</w:t>
            </w:r>
          </w:p>
        </w:tc>
        <w:tc>
          <w:tcPr/>
          <w:p>
            <w:pPr>
              <w:pStyle w:val="Compact"/>
            </w:pPr>
            <w:r>
              <w:t xml:space="preserve">Scenario A live, with the Learned / Unknown steps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to 2:20</w:t>
            </w:r>
          </w:p>
        </w:tc>
        <w:tc>
          <w:tcPr/>
          <w:p>
            <w:pPr>
              <w:pStyle w:val="Compact"/>
            </w:pPr>
            <w:r>
              <w:t xml:space="preserve">Analyst rejects (E or J), nothing runs, Sentinel re-plans; scenario D stays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 to 2:45</w:t>
            </w:r>
          </w:p>
        </w:tc>
        <w:tc>
          <w:tcPr/>
          <w:p>
            <w:pPr>
              <w:pStyle w:val="Compact"/>
            </w:pPr>
            <w:r>
              <w:t xml:space="preserve">The audit record and our measured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 to 3:00</w:t>
            </w:r>
          </w:p>
        </w:tc>
        <w:tc>
          <w:tcPr/>
          <w:p>
            <w:pPr>
              <w:pStyle w:val="Compact"/>
            </w:pPr>
            <w:r>
              <w:t xml:space="preserve">Close: secure, inclusive, efficient</w:t>
            </w:r>
          </w:p>
        </w:tc>
      </w:tr>
    </w:tbl>
    <w:p>
      <w:pPr>
        <w:pStyle w:val="BodyText"/>
      </w:pPr>
      <w:r>
        <w:t xml:space="preserve">Every number on screen is either sourced or labeled</w:t>
      </w:r>
      <w:r>
        <w:t xml:space="preserve"> </w:t>
      </w:r>
      <w:r>
        <w:t xml:space="preserve">“in our test”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Frontend Guide</dc:title>
  <dc:creator/>
  <cp:keywords/>
  <dcterms:created xsi:type="dcterms:W3CDTF">2026-10-22T03:17:59Z</dcterms:created>
  <dcterms:modified xsi:type="dcterms:W3CDTF">2026-10-22T03:17:59Z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Owners: Technical Lead (reply layout, audit record), Communications &amp; Demo Lead (demo)</vt:lpwstr>
  </property>
</Properties>
</file>