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We are called to reform, not schism</w:t>
      </w:r>
    </w:p>
    <w:p w:rsidR="00000000" w:rsidDel="00000000" w:rsidP="00000000" w:rsidRDefault="00000000" w:rsidRPr="00000000" w14:paraId="00000002">
      <w:pPr>
        <w:rPr>
          <w:sz w:val="26"/>
          <w:szCs w:val="26"/>
        </w:rPr>
      </w:pPr>
      <w:r w:rsidDel="00000000" w:rsidR="00000000" w:rsidRPr="00000000">
        <w:rPr>
          <w:sz w:val="26"/>
          <w:szCs w:val="26"/>
          <w:rtl w:val="0"/>
        </w:rPr>
        <w:t xml:space="preserve">(Century school book, bold italic, 85 pixels)</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The Protestant Reformers sought to purify the church, and persevered until they were excommunicated and threatened with death. Schism over doctrinal impurity is voluntarily ceding the church to error and abandoning what generations of faithful Christians have poured their lives into building. There is still a faithful remnant in the PCC, and there are many others that still need to hear faithful preaching of the gospel. We look to the Protestant Reformers and defenders of the faith such as St. Athanasius who loved the Church enough to fight the corruptions rather than divide over them. Let us follow the noble example of our forefathers.</w:t>
      </w:r>
    </w:p>
    <w:p w:rsidR="00000000" w:rsidDel="00000000" w:rsidP="00000000" w:rsidRDefault="00000000" w:rsidRPr="00000000" w14:paraId="00000005">
      <w:pPr>
        <w:rPr>
          <w:sz w:val="26"/>
          <w:szCs w:val="26"/>
        </w:rPr>
      </w:pPr>
      <w:r w:rsidDel="00000000" w:rsidR="00000000" w:rsidRPr="00000000">
        <w:rPr>
          <w:sz w:val="26"/>
          <w:szCs w:val="26"/>
          <w:rtl w:val="0"/>
        </w:rPr>
        <w:t xml:space="preserve">(Constantia, bold, 40 pixels)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Click on the slideshows below to dive deeper into why we believe the PCC is worth reforming</w:t>
      </w:r>
    </w:p>
    <w:p w:rsidR="00000000" w:rsidDel="00000000" w:rsidP="00000000" w:rsidRDefault="00000000" w:rsidRPr="00000000" w14:paraId="00000009">
      <w:pPr>
        <w:rPr>
          <w:sz w:val="26"/>
          <w:szCs w:val="26"/>
        </w:rPr>
      </w:pPr>
      <w:r w:rsidDel="00000000" w:rsidR="00000000" w:rsidRPr="00000000">
        <w:rPr>
          <w:sz w:val="26"/>
          <w:szCs w:val="26"/>
          <w:rtl w:val="0"/>
        </w:rPr>
        <w:t xml:space="preserve">(Constantia, regular, 50 pixels)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We believe Classical Protestantism contains the necessary theological and institutional heritage to evangelize to society and transform culture for the glory of God.</w:t>
      </w:r>
    </w:p>
    <w:p w:rsidR="00000000" w:rsidDel="00000000" w:rsidP="00000000" w:rsidRDefault="00000000" w:rsidRPr="00000000" w14:paraId="0000000D">
      <w:pPr>
        <w:rPr>
          <w:sz w:val="26"/>
          <w:szCs w:val="26"/>
        </w:rPr>
      </w:pPr>
      <w:r w:rsidDel="00000000" w:rsidR="00000000" w:rsidRPr="00000000">
        <w:rPr>
          <w:sz w:val="26"/>
          <w:szCs w:val="26"/>
          <w:rtl w:val="0"/>
        </w:rPr>
        <w:t xml:space="preserve">(Century school book, bold, 50 pixels)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Mainstream non-denominational evangelicalism stems from hyper-individualistic and anti-institutional ideologies; this radical departure from the roots of the Reformation has led to a loss of sound theology and caused countless scandal and fractures within Protestantism. Although different traditions emerged since the Reformation, we must still strive for unity among diversity, which means reviving the mainline churches.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Therefore, while we acknowledge all genuine believers in Jesus Christ as fellow brethren and workers in the faith, we urge for an “ad fontes” retrieval of the heritage of Classical Protestantism, for a more united and effective Christian witness to the world.</w:t>
      </w:r>
    </w:p>
    <w:p w:rsidR="00000000" w:rsidDel="00000000" w:rsidP="00000000" w:rsidRDefault="00000000" w:rsidRPr="00000000" w14:paraId="00000012">
      <w:pPr>
        <w:rPr>
          <w:sz w:val="26"/>
          <w:szCs w:val="26"/>
        </w:rPr>
      </w:pPr>
      <w:r w:rsidDel="00000000" w:rsidR="00000000" w:rsidRPr="00000000">
        <w:rPr>
          <w:sz w:val="26"/>
          <w:szCs w:val="26"/>
          <w:rtl w:val="0"/>
        </w:rPr>
        <w:t xml:space="preserve">(Constantia, regular, 45 pixels)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