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79"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747"/>
        <w:gridCol w:w="10632"/>
      </w:tblGrid>
      <w:tr w:rsidR="00E85E0F" w:rsidRPr="00B2096A" w14:paraId="14B38B90"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A20A7" w14:textId="77777777" w:rsidR="00E85E0F" w:rsidRDefault="00E85E0F" w:rsidP="00741537">
            <w:pPr>
              <w:pBdr>
                <w:top w:val="nil"/>
                <w:left w:val="nil"/>
                <w:bottom w:val="nil"/>
                <w:right w:val="nil"/>
                <w:between w:val="nil"/>
              </w:pBdr>
              <w:spacing w:before="120" w:after="120" w:line="275" w:lineRule="auto"/>
              <w:ind w:right="-421"/>
              <w:jc w:val="both"/>
              <w:rPr>
                <w:rFonts w:ascii="Century Gothic" w:eastAsia="Arial" w:hAnsi="Century Gothic" w:cs="Arial"/>
                <w:b/>
                <w:bCs/>
                <w:color w:val="0000FF"/>
                <w:sz w:val="18"/>
                <w:szCs w:val="18"/>
              </w:rPr>
            </w:pPr>
            <w:r w:rsidRPr="00B2096A">
              <w:rPr>
                <w:rFonts w:ascii="Century Gothic" w:eastAsia="Arial" w:hAnsi="Century Gothic" w:cs="Arial"/>
                <w:b/>
                <w:bCs/>
                <w:color w:val="0000FF"/>
                <w:sz w:val="18"/>
                <w:szCs w:val="18"/>
              </w:rPr>
              <w:t xml:space="preserve">Case </w:t>
            </w:r>
          </w:p>
          <w:p w14:paraId="04C38D40"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E76E9" w14:textId="77777777" w:rsidR="00E85E0F" w:rsidRPr="00B2096A" w:rsidRDefault="00E85E0F" w:rsidP="00741537">
            <w:pPr>
              <w:pStyle w:val="Heading2"/>
            </w:pPr>
            <w:bookmarkStart w:id="0" w:name="_Toc242990772"/>
            <w:r w:rsidRPr="00B2096A">
              <w:t xml:space="preserve">Janice L. </w:t>
            </w:r>
            <w:proofErr w:type="spellStart"/>
            <w:r w:rsidRPr="00B2096A">
              <w:t>Teologo</w:t>
            </w:r>
            <w:proofErr w:type="spellEnd"/>
            <w:r w:rsidRPr="00B2096A">
              <w:t xml:space="preserve"> and Jennifer Delos Santos v. People of the Philippines</w:t>
            </w:r>
            <w:bookmarkEnd w:id="0"/>
          </w:p>
          <w:p w14:paraId="0EF4BE5C" w14:textId="77777777" w:rsidR="00E85E0F" w:rsidRPr="00B2096A" w:rsidRDefault="00E85E0F" w:rsidP="00741537">
            <w:pPr>
              <w:pStyle w:val="Heading2"/>
            </w:pPr>
            <w:bookmarkStart w:id="1" w:name="_Toc242990773"/>
            <w:r w:rsidRPr="00B2096A">
              <w:t>G.R. No. 238383, April 02, 2025</w:t>
            </w:r>
            <w:bookmarkEnd w:id="1"/>
          </w:p>
          <w:p w14:paraId="5E37909C" w14:textId="77777777" w:rsidR="00E85E0F" w:rsidRPr="00B2096A" w:rsidRDefault="00E85E0F" w:rsidP="00741537">
            <w:pPr>
              <w:pStyle w:val="Heading2"/>
            </w:pPr>
            <w:bookmarkStart w:id="2" w:name="_Toc242990774"/>
            <w:r w:rsidRPr="00B2096A">
              <w:t>Second Division</w:t>
            </w:r>
            <w:bookmarkEnd w:id="2"/>
          </w:p>
        </w:tc>
      </w:tr>
      <w:tr w:rsidR="00E85E0F" w:rsidRPr="00B2096A" w14:paraId="7E0AAAFE"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DD373"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Facts</w:t>
            </w: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5CF34" w14:textId="77777777" w:rsidR="00E85E0F" w:rsidRPr="00B2096A" w:rsidRDefault="00E85E0F" w:rsidP="00741537">
            <w:pPr>
              <w:pBdr>
                <w:top w:val="nil"/>
                <w:left w:val="nil"/>
                <w:bottom w:val="nil"/>
                <w:right w:val="nil"/>
                <w:between w:val="nil"/>
              </w:pBdr>
              <w:spacing w:before="120" w:after="120" w:line="275" w:lineRule="auto"/>
              <w:jc w:val="both"/>
              <w:rPr>
                <w:rFonts w:ascii="Century Gothic" w:hAnsi="Century Gothic"/>
                <w:color w:val="0000FF"/>
                <w:sz w:val="18"/>
                <w:szCs w:val="18"/>
              </w:rPr>
            </w:pPr>
            <w:r w:rsidRPr="00B2096A">
              <w:rPr>
                <w:rFonts w:ascii="Century Gothic" w:eastAsia="Arial" w:hAnsi="Century Gothic" w:cs="Arial"/>
                <w:color w:val="0000FF"/>
                <w:sz w:val="18"/>
                <w:szCs w:val="18"/>
              </w:rPr>
              <w:t xml:space="preserve">Petitioners Janice L. </w:t>
            </w:r>
            <w:proofErr w:type="spellStart"/>
            <w:r w:rsidRPr="00B2096A">
              <w:rPr>
                <w:rFonts w:ascii="Century Gothic" w:eastAsia="Arial" w:hAnsi="Century Gothic" w:cs="Arial"/>
                <w:color w:val="0000FF"/>
                <w:sz w:val="18"/>
                <w:szCs w:val="18"/>
              </w:rPr>
              <w:t>Teologo</w:t>
            </w:r>
            <w:proofErr w:type="spellEnd"/>
            <w:r w:rsidRPr="00B2096A">
              <w:rPr>
                <w:rFonts w:ascii="Century Gothic" w:eastAsia="Arial" w:hAnsi="Century Gothic" w:cs="Arial"/>
                <w:color w:val="0000FF"/>
                <w:sz w:val="18"/>
                <w:szCs w:val="18"/>
              </w:rPr>
              <w:t xml:space="preserve"> and Jennifer Delos Santos were branch managers of a Shakey’s Pizza branch operated by franchise holder Big G </w:t>
            </w:r>
            <w:proofErr w:type="spellStart"/>
            <w:r w:rsidRPr="00B2096A">
              <w:rPr>
                <w:rFonts w:ascii="Century Gothic" w:eastAsia="Arial" w:hAnsi="Century Gothic" w:cs="Arial"/>
                <w:color w:val="0000FF"/>
                <w:sz w:val="18"/>
                <w:szCs w:val="18"/>
              </w:rPr>
              <w:t>Philfoods</w:t>
            </w:r>
            <w:proofErr w:type="spellEnd"/>
            <w:r w:rsidRPr="00B2096A">
              <w:rPr>
                <w:rFonts w:ascii="Century Gothic" w:eastAsia="Arial" w:hAnsi="Century Gothic" w:cs="Arial"/>
                <w:color w:val="0000FF"/>
                <w:sz w:val="18"/>
                <w:szCs w:val="18"/>
              </w:rPr>
              <w:t xml:space="preserve"> &amp; Entertainment, Inc. (Big G). Big G regularly issued checks for encashment and distribution to rank-and-file employees representing their statutory collected shares in the branch service charges for June to September 2009. Big G also prepared monthly payroll sheets reflecting the specific computation each worker was to receive. Employees Ingimar Buenaventura and Mark Christopher </w:t>
            </w:r>
            <w:proofErr w:type="spellStart"/>
            <w:r w:rsidRPr="00B2096A">
              <w:rPr>
                <w:rFonts w:ascii="Century Gothic" w:eastAsia="Arial" w:hAnsi="Century Gothic" w:cs="Arial"/>
                <w:color w:val="0000FF"/>
                <w:sz w:val="18"/>
                <w:szCs w:val="18"/>
              </w:rPr>
              <w:t>Quetua</w:t>
            </w:r>
            <w:proofErr w:type="spellEnd"/>
            <w:r w:rsidRPr="00B2096A">
              <w:rPr>
                <w:rFonts w:ascii="Century Gothic" w:eastAsia="Arial" w:hAnsi="Century Gothic" w:cs="Arial"/>
                <w:color w:val="0000FF"/>
                <w:sz w:val="18"/>
                <w:szCs w:val="18"/>
              </w:rPr>
              <w:t xml:space="preserve"> were made to sign the payroll sheets </w:t>
            </w:r>
            <w:proofErr w:type="spellStart"/>
            <w:r w:rsidRPr="00B2096A">
              <w:rPr>
                <w:rFonts w:ascii="Century Gothic" w:eastAsia="Arial" w:hAnsi="Century Gothic" w:cs="Arial"/>
                <w:color w:val="0000FF"/>
                <w:sz w:val="18"/>
                <w:szCs w:val="18"/>
              </w:rPr>
              <w:t>acknowledgeing</w:t>
            </w:r>
            <w:proofErr w:type="spellEnd"/>
            <w:r w:rsidRPr="00B2096A">
              <w:rPr>
                <w:rFonts w:ascii="Century Gothic" w:eastAsia="Arial" w:hAnsi="Century Gothic" w:cs="Arial"/>
                <w:color w:val="0000FF"/>
                <w:sz w:val="18"/>
                <w:szCs w:val="18"/>
              </w:rPr>
              <w:t xml:space="preserve"> receipt, but petitioners withheld the money and never disbursed the amounts. The employees reported the scheme after an internal audit commenced. Petitioners claimed that the service charges were withheld and reallocated pursuant to an unwritten company policy because the employees had incomplete requirements, but they failed to identify any workers who supposedly received the redistributed funds. The RTC convicted petitioners of Qualified Theft under Article 310 in relation to Article 308 of the Revised Penal Code (RPC), which the Court of Appeals affirmed.</w:t>
            </w:r>
          </w:p>
        </w:tc>
      </w:tr>
      <w:tr w:rsidR="00E85E0F" w:rsidRPr="00B2096A" w14:paraId="271A6126"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4EDFCF"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Issue</w:t>
            </w: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D0D0C" w14:textId="77777777" w:rsidR="00E85E0F" w:rsidRPr="00B2096A" w:rsidRDefault="00E85E0F" w:rsidP="00741537">
            <w:pPr>
              <w:pBdr>
                <w:top w:val="nil"/>
                <w:left w:val="nil"/>
                <w:bottom w:val="nil"/>
                <w:right w:val="nil"/>
                <w:between w:val="nil"/>
              </w:pBdr>
              <w:spacing w:before="120" w:after="120" w:line="275" w:lineRule="auto"/>
              <w:jc w:val="both"/>
              <w:rPr>
                <w:rFonts w:ascii="Century Gothic" w:hAnsi="Century Gothic"/>
                <w:color w:val="0000FF"/>
                <w:sz w:val="18"/>
                <w:szCs w:val="18"/>
              </w:rPr>
            </w:pPr>
            <w:r w:rsidRPr="00B2096A">
              <w:rPr>
                <w:rFonts w:ascii="Century Gothic" w:eastAsia="Arial" w:hAnsi="Century Gothic" w:cs="Arial"/>
                <w:color w:val="0000FF"/>
                <w:sz w:val="18"/>
                <w:szCs w:val="18"/>
              </w:rPr>
              <w:t>Whether the petitioners are guilty beyond reasonable doubt of Qualified Theft under Article 310 of the RPC, or only Simple Theft under Article 308, for unlawfully withholding and taking the employees' shares in the service charges collected by the establishment.</w:t>
            </w:r>
          </w:p>
        </w:tc>
      </w:tr>
      <w:tr w:rsidR="00E85E0F" w:rsidRPr="00B2096A" w14:paraId="21D30A2F"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DB5D6"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Held</w:t>
            </w: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05B413"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Petitioners are guilty only of Simple Theft under Article 308 of the Revised Penal Code, not Qualified Theft.</w:t>
            </w:r>
          </w:p>
          <w:p w14:paraId="64DA14DE"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p>
          <w:p w14:paraId="1D5F6BEE"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p>
          <w:p w14:paraId="70BC56C9"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i/>
                <w:iCs/>
                <w:color w:val="0000FF"/>
                <w:sz w:val="18"/>
                <w:szCs w:val="18"/>
              </w:rPr>
            </w:pPr>
            <w:r w:rsidRPr="00B2096A">
              <w:rPr>
                <w:rFonts w:ascii="Century Gothic" w:eastAsia="Arial" w:hAnsi="Century Gothic" w:cs="Arial"/>
                <w:b/>
                <w:bCs/>
                <w:i/>
                <w:iCs/>
                <w:color w:val="0000FF"/>
                <w:sz w:val="18"/>
                <w:szCs w:val="18"/>
              </w:rPr>
              <w:t>Verbatim Legal Basis:</w:t>
            </w:r>
          </w:p>
          <w:p w14:paraId="045A483F"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i/>
                <w:iCs/>
                <w:color w:val="0000FF"/>
                <w:sz w:val="18"/>
                <w:szCs w:val="18"/>
              </w:rPr>
            </w:pPr>
          </w:p>
          <w:p w14:paraId="169249AB"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Article 308, Revised Penal Code:</w:t>
            </w:r>
          </w:p>
          <w:p w14:paraId="0520E21E"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p>
          <w:p w14:paraId="598F46D4"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r w:rsidRPr="00B2096A">
              <w:rPr>
                <w:rFonts w:ascii="Century Gothic" w:eastAsia="Arial" w:hAnsi="Century Gothic" w:cs="Arial"/>
                <w:i/>
                <w:iCs/>
                <w:color w:val="0000FF"/>
                <w:sz w:val="18"/>
                <w:szCs w:val="18"/>
              </w:rPr>
              <w:t>"Art. 308. Who are liable for theft. — Theft is committed by any person who, with intent to gain but without violence against, or intimidation of persons nor force upon things, shall take personal property of another without the latter's consent."</w:t>
            </w:r>
          </w:p>
          <w:p w14:paraId="689D1A1D"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p>
          <w:p w14:paraId="6DFFC856"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p>
          <w:p w14:paraId="08B58A79"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Article 310, Revised Penal Code:</w:t>
            </w:r>
          </w:p>
          <w:p w14:paraId="378E07EB"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p>
          <w:p w14:paraId="5ED2928B"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r w:rsidRPr="00B2096A">
              <w:rPr>
                <w:rFonts w:ascii="Century Gothic" w:eastAsia="Arial" w:hAnsi="Century Gothic" w:cs="Arial"/>
                <w:i/>
                <w:iCs/>
                <w:color w:val="0000FF"/>
                <w:sz w:val="18"/>
                <w:szCs w:val="18"/>
              </w:rPr>
              <w:t>"Art. 310. Qualified theft. — The crime of theft shall be punished by the penalties next higher by two degrees than those respectively specified in the next preceding article, if committed by a domestic servant, or with grave abuse of confidence, or if the property stolen is motor vehicle, mail matter or large cattle or consists of coconuts taken from the premises of the plantation or fish taken from a fishpond or fishery, or if property is taken on the occasion of fire, earthquake, typhoon, volcanic eruption, or any other calamity, vehicular accident or civil disturbance."</w:t>
            </w:r>
          </w:p>
          <w:p w14:paraId="4F4CC5F9"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p>
          <w:p w14:paraId="4F53B560"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p>
          <w:p w14:paraId="59620E7F"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i/>
                <w:iCs/>
                <w:color w:val="0000FF"/>
                <w:sz w:val="18"/>
                <w:szCs w:val="18"/>
              </w:rPr>
            </w:pPr>
            <w:r w:rsidRPr="00B2096A">
              <w:rPr>
                <w:rFonts w:ascii="Century Gothic" w:eastAsia="Arial" w:hAnsi="Century Gothic" w:cs="Arial"/>
                <w:i/>
                <w:iCs/>
                <w:color w:val="0000FF"/>
                <w:sz w:val="18"/>
                <w:szCs w:val="18"/>
              </w:rPr>
              <w:t>(In relation to Article 96 of the Labor Code, as amended by R.A. No. 11360, governing the mandatory distribution of service charges collected by hotels, restaurants, and similar establishments).</w:t>
            </w:r>
          </w:p>
        </w:tc>
      </w:tr>
      <w:tr w:rsidR="00E85E0F" w:rsidRPr="00B2096A" w14:paraId="5AC4A1B7"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A8411"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 xml:space="preserve">Ratio </w:t>
            </w: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E95598"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color w:val="0000FF"/>
                <w:sz w:val="18"/>
                <w:szCs w:val="18"/>
              </w:rPr>
            </w:pPr>
            <w:r w:rsidRPr="00B2096A">
              <w:rPr>
                <w:rFonts w:ascii="Century Gothic" w:eastAsia="Arial" w:hAnsi="Century Gothic" w:cs="Arial"/>
                <w:color w:val="0000FF"/>
                <w:sz w:val="18"/>
                <w:szCs w:val="18"/>
              </w:rPr>
              <w:t xml:space="preserve">1. </w:t>
            </w:r>
            <w:r w:rsidRPr="00B2096A">
              <w:rPr>
                <w:rFonts w:ascii="Century Gothic" w:eastAsia="Arial" w:hAnsi="Century Gothic" w:cs="Arial"/>
                <w:b/>
                <w:bCs/>
                <w:color w:val="0000FF"/>
                <w:sz w:val="18"/>
                <w:szCs w:val="18"/>
              </w:rPr>
              <w:t>Ownership and Constructive Possession of Service Charges:</w:t>
            </w:r>
            <w:r w:rsidRPr="00B2096A">
              <w:rPr>
                <w:rFonts w:ascii="Century Gothic" w:eastAsia="Arial" w:hAnsi="Century Gothic" w:cs="Arial"/>
                <w:color w:val="0000FF"/>
                <w:sz w:val="18"/>
                <w:szCs w:val="18"/>
              </w:rPr>
              <w:t xml:space="preserve"> Service charges collected by restaurants belong by mandate of labor standard laws to the covered employees. Once the employer computes the payroll and earmarks the specific amounts for the employees, and the employees sign the payroll sheets, they acquire constructive possession and immediate entitlement to dominion over said property. Depriving them of these funds amounts to an unlawful taking of personal property belonging to another.</w:t>
            </w:r>
          </w:p>
          <w:p w14:paraId="0D8584C2"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color w:val="0000FF"/>
                <w:sz w:val="18"/>
                <w:szCs w:val="18"/>
              </w:rPr>
            </w:pPr>
          </w:p>
          <w:p w14:paraId="5642C677"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color w:val="0000FF"/>
                <w:sz w:val="18"/>
                <w:szCs w:val="18"/>
              </w:rPr>
            </w:pPr>
            <w:r w:rsidRPr="00B2096A">
              <w:rPr>
                <w:rFonts w:ascii="Century Gothic" w:eastAsia="Arial" w:hAnsi="Century Gothic" w:cs="Arial"/>
                <w:color w:val="0000FF"/>
                <w:sz w:val="18"/>
                <w:szCs w:val="18"/>
              </w:rPr>
              <w:t xml:space="preserve">2. </w:t>
            </w:r>
            <w:r w:rsidRPr="00B2096A">
              <w:rPr>
                <w:rFonts w:ascii="Century Gothic" w:eastAsia="Arial" w:hAnsi="Century Gothic" w:cs="Arial"/>
                <w:b/>
                <w:bCs/>
                <w:color w:val="0000FF"/>
                <w:sz w:val="18"/>
                <w:szCs w:val="18"/>
              </w:rPr>
              <w:t>Absence of Abuse of Confidence vis-à-vis Victims:</w:t>
            </w:r>
            <w:r w:rsidRPr="00B2096A">
              <w:rPr>
                <w:rFonts w:ascii="Century Gothic" w:eastAsia="Arial" w:hAnsi="Century Gothic" w:cs="Arial"/>
                <w:color w:val="0000FF"/>
                <w:sz w:val="18"/>
                <w:szCs w:val="18"/>
              </w:rPr>
              <w:t xml:space="preserve"> For theft to be qualified by grave abuse of confidence under Article 310, the trust reposed must exist between the offender and the victim whose property was taken. While petitioners enjoyed the trust and confidence of their </w:t>
            </w:r>
            <w:r w:rsidRPr="00B2096A">
              <w:rPr>
                <w:rFonts w:ascii="Century Gothic" w:eastAsia="Arial" w:hAnsi="Century Gothic" w:cs="Arial"/>
                <w:i/>
                <w:iCs/>
                <w:color w:val="0000FF"/>
                <w:sz w:val="18"/>
                <w:szCs w:val="18"/>
              </w:rPr>
              <w:t>employer</w:t>
            </w:r>
            <w:r w:rsidRPr="00B2096A">
              <w:rPr>
                <w:rFonts w:ascii="Century Gothic" w:eastAsia="Arial" w:hAnsi="Century Gothic" w:cs="Arial"/>
                <w:color w:val="0000FF"/>
                <w:sz w:val="18"/>
                <w:szCs w:val="18"/>
              </w:rPr>
              <w:t xml:space="preserve"> (Big G) as branch managers, the stolen property belonged to their </w:t>
            </w:r>
            <w:r w:rsidRPr="00B2096A">
              <w:rPr>
                <w:rFonts w:ascii="Century Gothic" w:eastAsia="Arial" w:hAnsi="Century Gothic" w:cs="Arial"/>
                <w:i/>
                <w:iCs/>
                <w:color w:val="0000FF"/>
                <w:sz w:val="18"/>
                <w:szCs w:val="18"/>
              </w:rPr>
              <w:t>co-employees / subordinates</w:t>
            </w:r>
            <w:r w:rsidRPr="00B2096A">
              <w:rPr>
                <w:rFonts w:ascii="Century Gothic" w:eastAsia="Arial" w:hAnsi="Century Gothic" w:cs="Arial"/>
                <w:color w:val="0000FF"/>
                <w:sz w:val="18"/>
                <w:szCs w:val="18"/>
              </w:rPr>
              <w:t xml:space="preserve"> (Buenaventura and </w:t>
            </w:r>
            <w:proofErr w:type="spellStart"/>
            <w:r w:rsidRPr="00B2096A">
              <w:rPr>
                <w:rFonts w:ascii="Century Gothic" w:eastAsia="Arial" w:hAnsi="Century Gothic" w:cs="Arial"/>
                <w:color w:val="0000FF"/>
                <w:sz w:val="18"/>
                <w:szCs w:val="18"/>
              </w:rPr>
              <w:t>Quetua</w:t>
            </w:r>
            <w:proofErr w:type="spellEnd"/>
            <w:r w:rsidRPr="00B2096A">
              <w:rPr>
                <w:rFonts w:ascii="Century Gothic" w:eastAsia="Arial" w:hAnsi="Century Gothic" w:cs="Arial"/>
                <w:color w:val="0000FF"/>
                <w:sz w:val="18"/>
                <w:szCs w:val="18"/>
              </w:rPr>
              <w:t>). The relationship between managerial employees and rank-and-file workers does not involve the fiduciary trust contemplated by Article 310 of the RPC. Hence, the qualifying circumstance cannot be appreciated, reducing the crime to Simple Theft.</w:t>
            </w:r>
          </w:p>
        </w:tc>
      </w:tr>
      <w:tr w:rsidR="00E85E0F" w:rsidRPr="00B2096A" w14:paraId="4C3EF146" w14:textId="77777777" w:rsidTr="00741537">
        <w:tc>
          <w:tcPr>
            <w:tcW w:w="74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7CC531" w14:textId="77777777" w:rsidR="00E85E0F" w:rsidRPr="00B2096A" w:rsidRDefault="00E85E0F" w:rsidP="00741537">
            <w:pPr>
              <w:pBdr>
                <w:top w:val="nil"/>
                <w:left w:val="nil"/>
                <w:bottom w:val="nil"/>
                <w:right w:val="nil"/>
                <w:between w:val="nil"/>
              </w:pBdr>
              <w:spacing w:before="120" w:after="120" w:line="275" w:lineRule="auto"/>
              <w:ind w:right="-421"/>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lastRenderedPageBreak/>
              <w:t>Fallo</w:t>
            </w:r>
          </w:p>
        </w:tc>
        <w:tc>
          <w:tcPr>
            <w:tcW w:w="106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5CF3B"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color w:val="0000FF"/>
                <w:sz w:val="18"/>
                <w:szCs w:val="18"/>
              </w:rPr>
            </w:pPr>
            <w:r w:rsidRPr="00B2096A">
              <w:rPr>
                <w:rFonts w:ascii="Century Gothic" w:eastAsia="Arial" w:hAnsi="Century Gothic" w:cs="Arial"/>
                <w:b/>
                <w:bCs/>
                <w:color w:val="0000FF"/>
                <w:sz w:val="18"/>
                <w:szCs w:val="18"/>
              </w:rPr>
              <w:t>WHEREFORE</w:t>
            </w:r>
            <w:r w:rsidRPr="00B2096A">
              <w:rPr>
                <w:rFonts w:ascii="Century Gothic" w:eastAsia="Arial" w:hAnsi="Century Gothic" w:cs="Arial"/>
                <w:color w:val="0000FF"/>
                <w:sz w:val="18"/>
                <w:szCs w:val="18"/>
              </w:rPr>
              <w:t xml:space="preserve">, the Petition is </w:t>
            </w:r>
            <w:r w:rsidRPr="00B2096A">
              <w:rPr>
                <w:rFonts w:ascii="Century Gothic" w:eastAsia="Arial" w:hAnsi="Century Gothic" w:cs="Arial"/>
                <w:b/>
                <w:bCs/>
                <w:color w:val="0000FF"/>
                <w:sz w:val="18"/>
                <w:szCs w:val="18"/>
              </w:rPr>
              <w:t>PARTLY GRANTED</w:t>
            </w:r>
            <w:r w:rsidRPr="00B2096A">
              <w:rPr>
                <w:rFonts w:ascii="Century Gothic" w:eastAsia="Arial" w:hAnsi="Century Gothic" w:cs="Arial"/>
                <w:color w:val="0000FF"/>
                <w:sz w:val="18"/>
                <w:szCs w:val="18"/>
              </w:rPr>
              <w:t xml:space="preserve">. The Decision of the Court of Appeals is </w:t>
            </w:r>
            <w:r w:rsidRPr="00B2096A">
              <w:rPr>
                <w:rFonts w:ascii="Century Gothic" w:eastAsia="Arial" w:hAnsi="Century Gothic" w:cs="Arial"/>
                <w:b/>
                <w:bCs/>
                <w:color w:val="0000FF"/>
                <w:sz w:val="18"/>
                <w:szCs w:val="18"/>
              </w:rPr>
              <w:t>AFFIRMED with MODIFICATION</w:t>
            </w:r>
            <w:r w:rsidRPr="00B2096A">
              <w:rPr>
                <w:rFonts w:ascii="Century Gothic" w:eastAsia="Arial" w:hAnsi="Century Gothic" w:cs="Arial"/>
                <w:color w:val="0000FF"/>
                <w:sz w:val="18"/>
                <w:szCs w:val="18"/>
              </w:rPr>
              <w:t xml:space="preserve">. Petitioners Janice L. </w:t>
            </w:r>
            <w:proofErr w:type="spellStart"/>
            <w:r w:rsidRPr="00B2096A">
              <w:rPr>
                <w:rFonts w:ascii="Century Gothic" w:eastAsia="Arial" w:hAnsi="Century Gothic" w:cs="Arial"/>
                <w:color w:val="0000FF"/>
                <w:sz w:val="18"/>
                <w:szCs w:val="18"/>
              </w:rPr>
              <w:t>Teologo</w:t>
            </w:r>
            <w:proofErr w:type="spellEnd"/>
            <w:r w:rsidRPr="00B2096A">
              <w:rPr>
                <w:rFonts w:ascii="Century Gothic" w:eastAsia="Arial" w:hAnsi="Century Gothic" w:cs="Arial"/>
                <w:color w:val="0000FF"/>
                <w:sz w:val="18"/>
                <w:szCs w:val="18"/>
              </w:rPr>
              <w:t xml:space="preserve"> and Jennifer Delos Santos are found </w:t>
            </w:r>
            <w:r w:rsidRPr="00B2096A">
              <w:rPr>
                <w:rFonts w:ascii="Century Gothic" w:eastAsia="Arial" w:hAnsi="Century Gothic" w:cs="Arial"/>
                <w:b/>
                <w:bCs/>
                <w:color w:val="0000FF"/>
                <w:sz w:val="18"/>
                <w:szCs w:val="18"/>
              </w:rPr>
              <w:t>GUILTY</w:t>
            </w:r>
            <w:r w:rsidRPr="00B2096A">
              <w:rPr>
                <w:rFonts w:ascii="Century Gothic" w:eastAsia="Arial" w:hAnsi="Century Gothic" w:cs="Arial"/>
                <w:color w:val="0000FF"/>
                <w:sz w:val="18"/>
                <w:szCs w:val="18"/>
              </w:rPr>
              <w:t xml:space="preserve"> beyond reasonable doubt of the crime of </w:t>
            </w:r>
            <w:r w:rsidRPr="00B2096A">
              <w:rPr>
                <w:rFonts w:ascii="Century Gothic" w:eastAsia="Arial" w:hAnsi="Century Gothic" w:cs="Arial"/>
                <w:b/>
                <w:bCs/>
                <w:color w:val="0000FF"/>
                <w:sz w:val="18"/>
                <w:szCs w:val="18"/>
              </w:rPr>
              <w:t>SIMPLE THEFT</w:t>
            </w:r>
            <w:r w:rsidRPr="00B2096A">
              <w:rPr>
                <w:rFonts w:ascii="Century Gothic" w:eastAsia="Arial" w:hAnsi="Century Gothic" w:cs="Arial"/>
                <w:color w:val="0000FF"/>
                <w:sz w:val="18"/>
                <w:szCs w:val="18"/>
              </w:rPr>
              <w:t xml:space="preserve"> under Article 308 of the Revised Penal Code, sentenced to suffer imprisonment of six (6) months of </w:t>
            </w:r>
            <w:proofErr w:type="spellStart"/>
            <w:r w:rsidRPr="00B2096A">
              <w:rPr>
                <w:rFonts w:ascii="Century Gothic" w:eastAsia="Arial" w:hAnsi="Century Gothic" w:cs="Arial"/>
                <w:i/>
                <w:iCs/>
                <w:color w:val="0000FF"/>
                <w:sz w:val="18"/>
                <w:szCs w:val="18"/>
              </w:rPr>
              <w:t>arresto</w:t>
            </w:r>
            <w:proofErr w:type="spellEnd"/>
            <w:r w:rsidRPr="00B2096A">
              <w:rPr>
                <w:rFonts w:ascii="Century Gothic" w:eastAsia="Arial" w:hAnsi="Century Gothic" w:cs="Arial"/>
                <w:i/>
                <w:iCs/>
                <w:color w:val="0000FF"/>
                <w:sz w:val="18"/>
                <w:szCs w:val="18"/>
              </w:rPr>
              <w:t xml:space="preserve"> mayor</w:t>
            </w:r>
            <w:r w:rsidRPr="00B2096A">
              <w:rPr>
                <w:rFonts w:ascii="Century Gothic" w:eastAsia="Arial" w:hAnsi="Century Gothic" w:cs="Arial"/>
                <w:color w:val="0000FF"/>
                <w:sz w:val="18"/>
                <w:szCs w:val="18"/>
              </w:rPr>
              <w:t>, and ordered to indemnify the private complainants the withheld service charges in the amount of P9,569.76, plus legal interest of six percent (6%) per annum from the finality of this Decision until fully paid.</w:t>
            </w:r>
          </w:p>
          <w:p w14:paraId="510BC986" w14:textId="77777777" w:rsidR="00E85E0F" w:rsidRPr="00B2096A" w:rsidRDefault="00E85E0F" w:rsidP="00741537">
            <w:pPr>
              <w:pBdr>
                <w:top w:val="nil"/>
                <w:left w:val="nil"/>
                <w:bottom w:val="nil"/>
                <w:right w:val="nil"/>
                <w:between w:val="nil"/>
              </w:pBdr>
              <w:spacing w:line="275" w:lineRule="auto"/>
              <w:jc w:val="both"/>
              <w:rPr>
                <w:rFonts w:ascii="Century Gothic" w:hAnsi="Century Gothic"/>
                <w:b/>
                <w:bCs/>
                <w:color w:val="0000FF"/>
                <w:sz w:val="18"/>
                <w:szCs w:val="18"/>
              </w:rPr>
            </w:pPr>
            <w:r w:rsidRPr="00B2096A">
              <w:rPr>
                <w:rFonts w:ascii="Century Gothic" w:eastAsia="Arial" w:hAnsi="Century Gothic" w:cs="Arial"/>
                <w:b/>
                <w:bCs/>
                <w:color w:val="0000FF"/>
                <w:sz w:val="18"/>
                <w:szCs w:val="18"/>
              </w:rPr>
              <w:t>SO ORDERED.</w:t>
            </w:r>
          </w:p>
        </w:tc>
      </w:tr>
    </w:tbl>
    <w:p w14:paraId="25BAD655" w14:textId="77777777" w:rsidR="00A97F08" w:rsidRDefault="00A97F08"/>
    <w:sectPr w:rsidR="00A97F08" w:rsidSect="00E85E0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0F"/>
    <w:rsid w:val="00005526"/>
    <w:rsid w:val="004219CE"/>
    <w:rsid w:val="004900A4"/>
    <w:rsid w:val="00813316"/>
    <w:rsid w:val="00A97F08"/>
    <w:rsid w:val="00E85E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F70A"/>
  <w15:chartTrackingRefBased/>
  <w15:docId w15:val="{9675A304-4FAD-4D7D-AC2A-93AB041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0F"/>
    <w:pPr>
      <w:widowControl w:val="0"/>
      <w:autoSpaceDE w:val="0"/>
      <w:autoSpaceDN w:val="0"/>
      <w:spacing w:after="0" w:line="240" w:lineRule="auto"/>
    </w:pPr>
    <w:rPr>
      <w:rFonts w:ascii="Trebuchet MS" w:eastAsia="Trebuchet MS" w:hAnsi="Trebuchet MS" w:cs="Trebuchet MS"/>
      <w:kern w:val="0"/>
      <w:lang w:val="en-US"/>
      <w14:ligatures w14:val="none"/>
    </w:rPr>
  </w:style>
  <w:style w:type="paragraph" w:styleId="Heading1">
    <w:name w:val="heading 1"/>
    <w:basedOn w:val="Normal"/>
    <w:next w:val="Normal"/>
    <w:link w:val="Heading1Char"/>
    <w:autoRedefine/>
    <w:uiPriority w:val="9"/>
    <w:qFormat/>
    <w:rsid w:val="00813316"/>
    <w:pPr>
      <w:keepNext/>
      <w:keepLines/>
      <w:widowControl/>
      <w:autoSpaceDE/>
      <w:autoSpaceDN/>
      <w:spacing w:before="360" w:after="80" w:line="259" w:lineRule="auto"/>
      <w:outlineLvl w:val="0"/>
    </w:pPr>
    <w:rPr>
      <w:rFonts w:ascii="Century Gothic" w:eastAsiaTheme="majorEastAsia" w:hAnsi="Century Gothic" w:cstheme="majorBidi"/>
      <w:b/>
      <w:color w:val="002060"/>
      <w:kern w:val="2"/>
      <w:sz w:val="24"/>
      <w:szCs w:val="40"/>
      <w:lang w:val="en-PH"/>
      <w14:ligatures w14:val="standardContextual"/>
    </w:rPr>
  </w:style>
  <w:style w:type="paragraph" w:styleId="Heading2">
    <w:name w:val="heading 2"/>
    <w:basedOn w:val="Normal"/>
    <w:next w:val="Normal"/>
    <w:link w:val="Heading2Char"/>
    <w:uiPriority w:val="9"/>
    <w:unhideWhenUsed/>
    <w:qFormat/>
    <w:rsid w:val="00E85E0F"/>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E85E0F"/>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E85E0F"/>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PH"/>
      <w14:ligatures w14:val="standardContextual"/>
    </w:rPr>
  </w:style>
  <w:style w:type="paragraph" w:styleId="Heading5">
    <w:name w:val="heading 5"/>
    <w:basedOn w:val="Normal"/>
    <w:next w:val="Normal"/>
    <w:link w:val="Heading5Char"/>
    <w:uiPriority w:val="9"/>
    <w:semiHidden/>
    <w:unhideWhenUsed/>
    <w:qFormat/>
    <w:rsid w:val="00E85E0F"/>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PH"/>
      <w14:ligatures w14:val="standardContextual"/>
    </w:rPr>
  </w:style>
  <w:style w:type="paragraph" w:styleId="Heading6">
    <w:name w:val="heading 6"/>
    <w:basedOn w:val="Normal"/>
    <w:next w:val="Normal"/>
    <w:link w:val="Heading6Char"/>
    <w:uiPriority w:val="9"/>
    <w:semiHidden/>
    <w:unhideWhenUsed/>
    <w:qFormat/>
    <w:rsid w:val="00E85E0F"/>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PH"/>
      <w14:ligatures w14:val="standardContextual"/>
    </w:rPr>
  </w:style>
  <w:style w:type="paragraph" w:styleId="Heading7">
    <w:name w:val="heading 7"/>
    <w:basedOn w:val="Normal"/>
    <w:next w:val="Normal"/>
    <w:link w:val="Heading7Char"/>
    <w:uiPriority w:val="9"/>
    <w:semiHidden/>
    <w:unhideWhenUsed/>
    <w:qFormat/>
    <w:rsid w:val="00E85E0F"/>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PH"/>
      <w14:ligatures w14:val="standardContextual"/>
    </w:rPr>
  </w:style>
  <w:style w:type="paragraph" w:styleId="Heading8">
    <w:name w:val="heading 8"/>
    <w:basedOn w:val="Normal"/>
    <w:next w:val="Normal"/>
    <w:link w:val="Heading8Char"/>
    <w:uiPriority w:val="9"/>
    <w:semiHidden/>
    <w:unhideWhenUsed/>
    <w:qFormat/>
    <w:rsid w:val="00E85E0F"/>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PH"/>
      <w14:ligatures w14:val="standardContextual"/>
    </w:rPr>
  </w:style>
  <w:style w:type="paragraph" w:styleId="Heading9">
    <w:name w:val="heading 9"/>
    <w:basedOn w:val="Normal"/>
    <w:next w:val="Normal"/>
    <w:link w:val="Heading9Char"/>
    <w:uiPriority w:val="9"/>
    <w:semiHidden/>
    <w:unhideWhenUsed/>
    <w:qFormat/>
    <w:rsid w:val="00E85E0F"/>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316"/>
    <w:rPr>
      <w:rFonts w:ascii="Century Gothic" w:eastAsiaTheme="majorEastAsia" w:hAnsi="Century Gothic" w:cstheme="majorBidi"/>
      <w:b/>
      <w:color w:val="002060"/>
      <w:sz w:val="24"/>
      <w:szCs w:val="40"/>
    </w:rPr>
  </w:style>
  <w:style w:type="character" w:customStyle="1" w:styleId="Heading2Char">
    <w:name w:val="Heading 2 Char"/>
    <w:basedOn w:val="DefaultParagraphFont"/>
    <w:link w:val="Heading2"/>
    <w:uiPriority w:val="9"/>
    <w:semiHidden/>
    <w:rsid w:val="00E85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E0F"/>
    <w:rPr>
      <w:rFonts w:eastAsiaTheme="majorEastAsia" w:cstheme="majorBidi"/>
      <w:color w:val="272727" w:themeColor="text1" w:themeTint="D8"/>
    </w:rPr>
  </w:style>
  <w:style w:type="paragraph" w:styleId="Title">
    <w:name w:val="Title"/>
    <w:basedOn w:val="Normal"/>
    <w:next w:val="Normal"/>
    <w:link w:val="TitleChar"/>
    <w:uiPriority w:val="10"/>
    <w:qFormat/>
    <w:rsid w:val="00E85E0F"/>
    <w:pPr>
      <w:widowControl/>
      <w:autoSpaceDE/>
      <w:autoSpaceDN/>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E85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E0F"/>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E85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E0F"/>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PH"/>
      <w14:ligatures w14:val="standardContextual"/>
    </w:rPr>
  </w:style>
  <w:style w:type="character" w:customStyle="1" w:styleId="QuoteChar">
    <w:name w:val="Quote Char"/>
    <w:basedOn w:val="DefaultParagraphFont"/>
    <w:link w:val="Quote"/>
    <w:uiPriority w:val="29"/>
    <w:rsid w:val="00E85E0F"/>
    <w:rPr>
      <w:i/>
      <w:iCs/>
      <w:color w:val="404040" w:themeColor="text1" w:themeTint="BF"/>
    </w:rPr>
  </w:style>
  <w:style w:type="paragraph" w:styleId="ListParagraph">
    <w:name w:val="List Paragraph"/>
    <w:basedOn w:val="Normal"/>
    <w:uiPriority w:val="34"/>
    <w:qFormat/>
    <w:rsid w:val="00E85E0F"/>
    <w:pPr>
      <w:widowControl/>
      <w:autoSpaceDE/>
      <w:autoSpaceDN/>
      <w:spacing w:after="160" w:line="259" w:lineRule="auto"/>
      <w:ind w:left="720"/>
      <w:contextualSpacing/>
    </w:pPr>
    <w:rPr>
      <w:rFonts w:asciiTheme="minorHAnsi" w:eastAsiaTheme="minorHAnsi" w:hAnsiTheme="minorHAnsi" w:cstheme="minorBidi"/>
      <w:kern w:val="2"/>
      <w:lang w:val="en-PH"/>
      <w14:ligatures w14:val="standardContextual"/>
    </w:rPr>
  </w:style>
  <w:style w:type="character" w:styleId="IntenseEmphasis">
    <w:name w:val="Intense Emphasis"/>
    <w:basedOn w:val="DefaultParagraphFont"/>
    <w:uiPriority w:val="21"/>
    <w:qFormat/>
    <w:rsid w:val="00E85E0F"/>
    <w:rPr>
      <w:i/>
      <w:iCs/>
      <w:color w:val="2F5496" w:themeColor="accent1" w:themeShade="BF"/>
    </w:rPr>
  </w:style>
  <w:style w:type="paragraph" w:styleId="IntenseQuote">
    <w:name w:val="Intense Quote"/>
    <w:basedOn w:val="Normal"/>
    <w:next w:val="Normal"/>
    <w:link w:val="IntenseQuoteChar"/>
    <w:uiPriority w:val="30"/>
    <w:qFormat/>
    <w:rsid w:val="00E85E0F"/>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PH"/>
      <w14:ligatures w14:val="standardContextual"/>
    </w:rPr>
  </w:style>
  <w:style w:type="character" w:customStyle="1" w:styleId="IntenseQuoteChar">
    <w:name w:val="Intense Quote Char"/>
    <w:basedOn w:val="DefaultParagraphFont"/>
    <w:link w:val="IntenseQuote"/>
    <w:uiPriority w:val="30"/>
    <w:rsid w:val="00E85E0F"/>
    <w:rPr>
      <w:i/>
      <w:iCs/>
      <w:color w:val="2F5496" w:themeColor="accent1" w:themeShade="BF"/>
    </w:rPr>
  </w:style>
  <w:style w:type="character" w:styleId="IntenseReference">
    <w:name w:val="Intense Reference"/>
    <w:basedOn w:val="DefaultParagraphFont"/>
    <w:uiPriority w:val="32"/>
    <w:qFormat/>
    <w:rsid w:val="00E85E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677</Words>
  <Characters>3865</Characters>
  <Application>Microsoft Office Word</Application>
  <DocSecurity>0</DocSecurity>
  <Lines>32</Lines>
  <Paragraphs>9</Paragraphs>
  <ScaleCrop>false</ScaleCrop>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natividad</dc:creator>
  <cp:keywords/>
  <dc:description/>
  <cp:lastModifiedBy>princess natividad</cp:lastModifiedBy>
  <cp:revision>1</cp:revision>
  <dcterms:created xsi:type="dcterms:W3CDTF">2026-10-16T14:01:00Z</dcterms:created>
  <dcterms:modified xsi:type="dcterms:W3CDTF">2026-10-16T14:02:00Z</dcterms:modified>
</cp:coreProperties>
</file>