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la locul de muncă și instruirea periodică pentru {{#training.administrative}}personalul tehnico-administrativ și pentru {{/training.administrative}}personalul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w:t>
      </w:r>
      <w:r>
        <w:rPr>
          <w:rFonts w:eastAsia="Arial" w:cs="Arial" w:ascii="Arial" w:hAnsi="Arial"/>
          <w:color w:val="auto"/>
          <w:spacing w:val="0"/>
          <w:w w:val="100"/>
          <w:sz w:val="20"/>
          <w:szCs w:val="20"/>
          <w:lang w:val="ro-RO"/>
        </w:rPr>
        <w:t xml:space="preserve"> și șefii de locuri de muncă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