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12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următoarele intervale de timp pentru efectuarea instructajelor periodice: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 </w:t>
      </w:r>
      <w:r>
        <w:rPr>
          <w:rFonts w:eastAsia="Arial" w:cs="Arial" w:ascii="Arial" w:hAnsi="Arial"/>
          <w:color w:val="auto"/>
          <w:spacing w:val="0"/>
          <w:w w:val="100"/>
          <w:sz w:val="20"/>
          <w:szCs w:val="20"/>
          <w:lang w:val="ro-RO"/>
        </w:rPr>
        <w:t xml:space="preserve">și șefii de locuri de muncă, va fi instruit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cunoștința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0" w:type="dxa"/>
          <w:left w:w="108" w:type="dxa"/>
          <w:bottom w:w="0"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1101</Words>
  <Characters>6916</Characters>
  <CharactersWithSpaces>7896</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2026-09-19T00:16:14Z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