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Nr.: {{decisionNumber}} SSM Din: {{issueDate}}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Văzând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Legii nr 319/ 2006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și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 Normele de aplicare a acesteia aprobate prin H.G.1425/ 2006 pe de o parte și, pe de altă parte, cerințele metodei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de evaluare a riscurilor I.N.C.D.P.M. București, metodă avizată de Ministerul Muncii și Solidarității Sociale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, {{client.representativeName}}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în calitate de {{client.representativeRole}}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, începând cu 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widowControl/>
        <w:spacing w:before="0" w:after="6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Art.1.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În conformitate cu prevederile 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 xml:space="preserve">H.G nr.1425/ 2006,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următoarele persoane să facă parte și să desfășoare în cadrul orelor de program, activitățile de identificare și evaluarea a riscurilor de accidentare și îmbolnăvire profesională pentru locurile de muncă încadrate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: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{{#evaluationTeam}}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{{name}} având funcția de {{jobTitle}} în cadrul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va îndeplini și funcția de membru al echipei de evaluare.</w:t>
      </w:r>
    </w:p>
    <w:p>
      <w:pPr>
        <w:pStyle w:val="Normal"/>
        <w:widowControl/>
        <w:numPr>
          <w:ilvl w:val="0"/>
          <w:numId w:val="3"/>
        </w:numPr>
        <w:spacing w:before="0" w:after="4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{{/evaluationTeam}}</w:t>
      </w:r>
    </w:p>
    <w:p>
      <w:pPr>
        <w:pStyle w:val="Normal"/>
        <w:widowControl/>
        <w:numPr>
          <w:ilvl w:val="0"/>
          <w:numId w:val="3"/>
        </w:numPr>
        <w:spacing w:before="0" w:after="12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{{specialist.name}} în calitate de {{specialist.professionalTitle}} din cadrul {{provider.legalName}}, va coordona activitatea echipei de evaluare a riscurilor de accidentare și îmbolnăvire profesională.</w:t>
      </w:r>
    </w:p>
    <w:p>
      <w:pPr>
        <w:pStyle w:val="Normal"/>
        <w:widowControl/>
        <w:spacing w:before="0" w:after="120"/>
        <w:ind w:hanging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 xml:space="preserve">Art. 2.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Perioada de efectuare a identificării și evaluării riscurilor de accidentare și îmbolnăvire profesională la {{client.legalName}}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este de 10 zile de la data încheierii contractului.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48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fr-FR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 VERBAL DE LUARE LA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fr-FR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mnată confirmă că a luat cunoștință de prezenta decizie și se obligă să respecte întocmai obligațiile, atribuțiile și răspunderile ce reies din decizia Nr. {{decisionNumber}} SSM din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{{issueDate}}.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21"/>
        <w:gridCol w:w="3458"/>
        <w:gridCol w:w="2076"/>
        <w:gridCol w:w="1297"/>
        <w:gridCol w:w="1903"/>
      </w:tblGrid>
      <w:tr>
        <w:trPr>
          <w:tblHeader w:val="true"/>
          <w:trHeight w:val="7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{{#evaluationTeam}}{{name}}</w:t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{{issueDate}}{{/evaluationTeam}}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360" w:hRule="atLeast"/>
        </w:trPr>
        <w:tc>
          <w:tcPr>
            <w:tcW w:w="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Fonts w:ascii="Arial" w:hAnsi="Arial" w:cs="Arial"/>
          <w:sz w:val="2"/>
          <w:szCs w:val="20"/>
          <w:lang w:val="it-CH"/>
        </w:rPr>
      </w:pPr>
      <w:r>
        <w:rPr>
          <w:rFonts w:eastAsia="Arial" w:cs="Arial" w:ascii="Arial" w:hAnsi="Arial"/>
          <w:color w:val="auto"/>
          <w:spacing w:val="0"/>
          <w:w w:val="100"/>
          <w:sz w:val="2"/>
          <w:szCs w:val="20"/>
          <w:lang w:val="ro-RO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Courier New">
    <w:charset w:val="01"/>
    <w:family w:val="roman"/>
    <w:pitch w:val="variable"/>
  </w:font>
  <w:font w:name="Wingdings">
    <w:charset w:val="02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Arial Unicode MS"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60" w:after="0"/>
      <w:ind w:hanging="0" w:left="0"/>
      <w:jc w:val="center"/>
      <w:rPr/>
    </w:pPr>
    <w:r>
      <w:rPr>
        <w:rStyle w:val="PageNumber"/>
        <w:rFonts w:eastAsia="Arial" w:cs="Arial" w:ascii="Arial" w:hAnsi="Arial"/>
        <w:b w:val="false"/>
        <w:color w:val="auto"/>
        <w:spacing w:val="0"/>
        <w:w w:val="100"/>
        <w:sz w:val="16"/>
        <w:szCs w:val="16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outlineLvl w:val="0"/>
    </w:pPr>
    <w:rPr>
      <w:sz w:val="48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ind w:firstLine="708" w:left="2124" w:right="0"/>
      <w:outlineLvl w:val="1"/>
    </w:pPr>
    <w:rPr>
      <w:sz w:val="72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outlineLvl w:val="2"/>
    </w:pPr>
    <w:rPr>
      <w:sz w:val="72"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jc w:val="both"/>
      <w:outlineLvl w:val="3"/>
    </w:pPr>
    <w:rPr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both"/>
      <w:outlineLvl w:val="6"/>
    </w:pPr>
    <w:rPr>
      <w:sz w:val="32"/>
    </w:rPr>
  </w:style>
  <w:style w:type="character" w:styleId="WW8Num1z0">
    <w:name w:val="WW8Num1z0"/>
    <w:rPr>
      <w:rFonts w:ascii="Symbol" w:hAnsi="Symbol" w:cs="Symbol"/>
    </w:rPr>
  </w:style>
  <w:style w:type="character" w:styleId="WW8Num2z0">
    <w:name w:val="WW8Num2z0"/>
    <w:rPr>
      <w:rFonts w:ascii="Arial" w:hAnsi="Arial" w:cs="Arial"/>
      <w:b/>
      <w:sz w:val="22"/>
      <w:szCs w:val="22"/>
    </w:rPr>
  </w:style>
  <w:style w:type="character" w:styleId="WW8Num5z0">
    <w:name w:val="WW8Num5z0"/>
    <w:rPr>
      <w:b/>
    </w:rPr>
  </w:style>
  <w:style w:type="character" w:styleId="WW8Num6z0">
    <w:name w:val="WW8Num6z0"/>
    <w:rPr>
      <w:rFonts w:ascii="Symbol" w:hAnsi="Symbol" w:cs="Symbol"/>
    </w:rPr>
  </w:style>
  <w:style w:type="character" w:styleId="WW8Num6z1">
    <w:name w:val="WW8Num6z1"/>
    <w:rPr>
      <w:rFonts w:ascii="Courier New" w:hAnsi="Courier New" w:cs="Courier New"/>
    </w:rPr>
  </w:style>
  <w:style w:type="character" w:styleId="WW8Num6z2">
    <w:name w:val="WW8Num6z2"/>
    <w:rPr>
      <w:rFonts w:ascii="Wingdings" w:hAnsi="Wingdings" w:cs="Wingdings"/>
    </w:rPr>
  </w:style>
  <w:style w:type="character" w:styleId="WW8Num7z0">
    <w:name w:val="WW8Num7z0"/>
    <w:rPr>
      <w:b/>
      <w:sz w:val="24"/>
      <w:szCs w:val="24"/>
    </w:rPr>
  </w:style>
  <w:style w:type="character" w:styleId="WW8Num7z1">
    <w:name w:val="WW8Num7z1"/>
    <w:rPr/>
  </w:style>
  <w:style w:type="character" w:styleId="WW8Num8z0">
    <w:name w:val="WW8Num8z0"/>
    <w:rPr/>
  </w:style>
  <w:style w:type="character" w:styleId="WW8Num8z1">
    <w:name w:val="WW8Num8z1"/>
    <w:rPr>
      <w:rFonts w:ascii="Times New Roman" w:hAnsi="Times New Roman" w:eastAsia="Times New Roman" w:cs="Times New Roman"/>
    </w:rPr>
  </w:style>
  <w:style w:type="character" w:styleId="WW8Num10z0">
    <w:name w:val="WW8Num10z0"/>
    <w:rPr>
      <w:b/>
      <w:sz w:val="28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tal1">
    <w:name w:val="tal1"/>
    <w:basedOn w:val="DefaultParagraphFont"/>
    <w:rPr/>
  </w:style>
  <w:style w:type="character" w:styleId="tpa1">
    <w:name w:val="tpa1"/>
    <w:basedOn w:val="DefaultParagraphFont"/>
    <w:rPr/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Noto Sans Mono CJK SC" w:cs="Liberation Mono"/>
    </w:rPr>
  </w:style>
  <w:style w:type="character" w:styleId="Example">
    <w:name w:val="Example"/>
    <w:rPr>
      <w:rFonts w:ascii="Liberation Mono" w:hAnsi="Liberation Mono" w:eastAsia="Noto Sans Mono CJK SC" w:cs="Liberation Mono"/>
    </w:rPr>
  </w:style>
  <w:style w:type="character" w:styleId="UserEntry">
    <w:name w:val="User Entry"/>
    <w:rPr>
      <w:rFonts w:ascii="Liberation Mono" w:hAnsi="Liberation Mono" w:eastAsia="Noto Sans Mono CJK SC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>
      <w:lang w:val="en-GB"/>
    </w:rPr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NormalWeb">
    <w:name w:val="Normal (Web)"/>
    <w:basedOn w:val="Normal"/>
    <w:pPr>
      <w:spacing w:before="280" w:after="280"/>
    </w:pPr>
    <w:rPr>
      <w:rFonts w:ascii="Arial Unicode MS" w:hAnsi="Arial Unicode MS" w:eastAsia="Arial Unicode MS" w:cs="Arial Unicode MS"/>
      <w:color w:val="000000"/>
      <w:lang w:val="en-GB"/>
    </w:rPr>
  </w:style>
  <w:style w:type="paragraph" w:styleId="BodyTextIndent">
    <w:name w:val="Body Text Indent"/>
    <w:basedOn w:val="Normal"/>
    <w:pPr>
      <w:spacing w:lineRule="auto" w:line="360"/>
      <w:ind w:hanging="540" w:left="540" w:right="0"/>
    </w:pPr>
    <w:rPr>
      <w:sz w:val="28"/>
    </w:rPr>
  </w:style>
  <w:style w:type="paragraph" w:styleId="BodyTextIndent2">
    <w:name w:val="Body Text Indent 2"/>
    <w:basedOn w:val="Normal"/>
    <w:pPr>
      <w:spacing w:lineRule="auto" w:line="360"/>
      <w:ind w:hanging="0" w:left="360" w:right="0"/>
    </w:pPr>
    <w:rPr>
      <w:sz w:val="28"/>
    </w:rPr>
  </w:style>
  <w:style w:type="paragraph" w:styleId="BodyTextIndent3">
    <w:name w:val="Body Text Indent 3"/>
    <w:basedOn w:val="Normal"/>
    <w:pPr>
      <w:spacing w:lineRule="auto" w:line="360"/>
      <w:ind w:firstLine="708" w:left="0" w:right="0"/>
      <w:jc w:val="both"/>
    </w:pPr>
    <w:rPr>
      <w:sz w:val="28"/>
    </w:rPr>
  </w:style>
  <w:style w:type="paragraph" w:styleId="BlockText">
    <w:name w:val="Block Text"/>
    <w:basedOn w:val="Normal"/>
    <w:pPr>
      <w:ind w:hanging="0" w:left="1260" w:right="-900"/>
    </w:pPr>
    <w:rPr>
      <w:b/>
      <w:bCs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LibreOffice/26.8.0.3$Linux_AARCH64 LibreOffice_project/680$Build-3</Application>
  <AppVersion>15.0000</AppVersion>
  <Pages>1</Pages>
  <Words>305</Words>
  <Characters>2251</Characters>
  <CharactersWithSpaces>2517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2024-03-04T13:54:00Z</dcterms:created>
  <dc:creator>Jinaru Adam Marian</dc:creator>
  <dc:description/>
  <dc:language>en-US</dc:language>
  <cp:lastModifiedBy/>
  <cp:lastPrinted>2021-12-01T16:15:00Z</cp:lastPrinted>
  <dcterms:modified xsi:type="dcterms:W3CDTF">2026-09-19T00:16:16Z</dcterms:modified>
  <cp:revision>4</cp:revision>
  <dc:subject>Organizarea activitatii S.S.M.</dc:subject>
  <dc:title>Decizia 1 in domeniul S.S.M.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