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keepNext/>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keepNext/>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3"/>
        </w:numPr>
        <w:spacing w:before="120" w:after="6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Conform alegerii făcute de către lucrătorii angajați în cadrul {{client.legalName}}, conform cu prevederile din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cu privire la alegerea și desemnarea lucrătorilor cu răspunderi specifice în domeniul securității și sănătății în muncă,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având </w:t>
      </w:r>
      <w:r>
        <w:rPr>
          <w:rFonts w:eastAsia="Arial" w:cs="Arial" w:ascii="Arial" w:hAnsi="Arial"/>
          <w:color w:val="auto"/>
          <w:spacing w:val="0"/>
          <w:w w:val="100"/>
          <w:sz w:val="20"/>
          <w:szCs w:val="20"/>
          <w:lang w:val="ro-RO"/>
        </w:rPr>
        <w:t>funcția de {{client.representativeRole}}</w:t>
      </w:r>
      <w:r>
        <w:rPr>
          <w:rFonts w:eastAsia="Arial" w:cs="Arial" w:ascii="Arial" w:hAnsi="Arial"/>
          <w:color w:val="auto"/>
          <w:spacing w:val="0"/>
          <w:w w:val="100"/>
          <w:sz w:val="20"/>
          <w:szCs w:val="20"/>
          <w:lang w:val="ro-RO"/>
        </w:rPr>
        <w:t xml:space="preserv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