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prezența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periodice suplimentare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cunoștințelor pe parcursul unui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furtună și fulgere sau în cazul în care se părăsește domiciliu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climă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deconectăm cablul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bază.</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bășici ce conține un lichid serocitriu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microscopică față de plăgi sau preexistenței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Această celulă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termovulneranți pot acționa prin contact direct, provocând arsura cutanată sau indirect (mediat) prin aerul atmosferic, apărând arsuri patologice și insolație (sindrom de supraîncălzire; secundar arsurii cutanate). În afară de aceste cauze se mai descriu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și în al doilea rând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vindecă în timp mai scurt sau mai lung, se vindecă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constantă-temperatura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manevră care se face la locul accidentului, în cazul în care diagnosticăm o fractură, este de a imobiliza manual zona lezată, cu ambele mâini introduse simultan de-o parte și de altă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subiacentă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Gâtul se examinează prin inspecție și palpare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curăță cavitatea bucală și nasul de corpi străini, resturi de mâncare sau mase vomitive, nisip. Dacă căile respiratorii sunt libere, iar respirația lipsește, se începe respirația artificială prin metoda „gură-în-gură” sau „gură-în-nas”.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umplerii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greață, vomă, necoordonarea mișcărilor, dereglări ușoare de conștiință,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mână sau picior. Țesuturile edematiate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explozie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antena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la 55% din cauza comportamentului incorect al victimelor, acțiunilor inconștiente, condiționate de frică,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umedă cu soluție de clorură de var 2-5% sau înălbitor, lenjeria și vesela se fierbe timp de 15-20 minute în soluție de sodă sau muiate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