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u"/>
        <w:keepNext/>
      </w:pPr>
      <w:r>
        <w:rPr/>
        <w:t xml:space="preserve">Domeniul de aplicare</w:t>
      </w:r>
    </w:p>
    <w:p>
      <w:pPr/>
      <w:r>
        <w:rPr/>
        <w:t xml:space="preserve">Prezenta instrucțiune se aplică lucrătorilor care folosesc scări metalice simple, cu unul, două sau trei tronsoane, culisante sau duble, la lucrări la înălțime mică.</w:t>
      </w:r>
    </w:p>
    <w:p>
      <w:pPr>
        <w:pStyle w:val="Titlu"/>
        <w:keepNext/>
      </w:pPr>
      <w:r>
        <w:rPr/>
        <w:t xml:space="preserve">Măsuri înainte de fiecare utilizare</w:t>
      </w:r>
    </w:p>
    <w:p>
      <w:pPr>
        <w:numPr>
          <w:ilvl w:val="0"/>
          <w:numId w:val="1"/>
        </w:numPr>
      </w:pPr>
      <w:r>
        <w:rPr/>
        <w:t xml:space="preserve">Se alege o scară de tipul și cu capacitatea corespunzătoare activității, astfel încât înălțimea de lucru să nu depășească recomandările producătorului.</w:t>
      </w:r>
    </w:p>
    <w:p>
      <w:pPr>
        <w:numPr>
          <w:ilvl w:val="0"/>
          <w:numId w:val="1"/>
        </w:numPr>
      </w:pPr>
      <w:r>
        <w:rPr/>
        <w:t xml:space="preserve">Se citesc și se respectă instrucțiunile și pictogramele de pe scară.</w:t>
      </w:r>
    </w:p>
    <w:p>
      <w:pPr>
        <w:numPr>
          <w:ilvl w:val="0"/>
          <w:numId w:val="1"/>
        </w:numPr>
      </w:pPr>
      <w:r>
        <w:rPr/>
        <w:t xml:space="preserve">O scară proiectată pentru o singură persoană nu se urcă de mai multe persoane deodată.</w:t>
      </w:r>
    </w:p>
    <w:p>
      <w:pPr>
        <w:numPr>
          <w:ilvl w:val="0"/>
          <w:numId w:val="1"/>
        </w:numPr>
      </w:pPr>
      <w:r>
        <w:rPr/>
        <w:t xml:space="preserve">Înainte de utilizare, scara se verifică vizual cu atenție. Nu se folosesc scări cu defecte de fabricație sau cu defecte provenite din utilizări anterioare.</w:t>
      </w:r>
    </w:p>
    <w:p>
      <w:pPr>
        <w:numPr>
          <w:ilvl w:val="0"/>
          <w:numId w:val="1"/>
        </w:numPr>
      </w:pPr>
      <w:r>
        <w:rPr/>
        <w:t xml:space="preserve">Se verifică montarea și starea dopurilor de plastic și a elementului de siguranță suplimentară.</w:t>
      </w:r>
    </w:p>
    <w:p>
      <w:pPr>
        <w:numPr>
          <w:ilvl w:val="0"/>
          <w:numId w:val="1"/>
        </w:numPr>
      </w:pPr>
      <w:r>
        <w:rPr/>
        <w:t xml:space="preserve">Scara cu două sau trei tronsoane se deschide complet și corect înainte de urcare.</w:t>
      </w:r>
    </w:p>
    <w:p>
      <w:pPr>
        <w:pStyle w:val="Titlu"/>
        <w:keepNext/>
      </w:pPr>
      <w:r>
        <w:rPr/>
        <w:t xml:space="preserve">Reguli generale de siguranță</w:t>
      </w:r>
    </w:p>
    <w:p>
      <w:pPr>
        <w:numPr>
          <w:ilvl w:val="0"/>
          <w:numId w:val="1"/>
        </w:numPr>
      </w:pPr>
      <w:r>
        <w:rPr/>
        <w:t xml:space="preserve">În timpul lucrului pe scară se respectă următoarele reguli:</w:t>
      </w:r>
    </w:p>
    <w:p>
      <w:pPr>
        <w:numPr>
          <w:ilvl w:val="2"/>
          <w:numId w:val="1"/>
        </w:numPr>
      </w:pPr>
      <w:r>
        <w:rPr/>
        <w:t xml:space="preserve">scara se așază pe o suprafață plană și stabilă, cu picioarele bine sprijinite;</w:t>
      </w:r>
    </w:p>
    <w:p>
      <w:pPr>
        <w:numPr>
          <w:ilvl w:val="2"/>
          <w:numId w:val="1"/>
        </w:numPr>
      </w:pPr>
      <w:r>
        <w:rPr/>
        <w:t xml:space="preserve">nu se depășește ultima treaptă permisă de producător;</w:t>
      </w:r>
    </w:p>
    <w:p>
      <w:pPr>
        <w:numPr>
          <w:ilvl w:val="2"/>
          <w:numId w:val="1"/>
        </w:numPr>
      </w:pPr>
      <w:r>
        <w:rPr/>
        <w:t xml:space="preserve">urcarea și coborârea se fac cu fața spre scară, ținându-se cu ambele mâini;</w:t>
      </w:r>
    </w:p>
    <w:p>
      <w:pPr>
        <w:numPr>
          <w:ilvl w:val="2"/>
          <w:numId w:val="1"/>
        </w:numPr>
      </w:pPr>
      <w:r>
        <w:rPr/>
        <w:t xml:space="preserve">nu se aplecă lateral peste marginea scării; scara se mută în dreptul lucrării.</w:t>
      </w:r>
    </w:p>
    <w:p>
      <w:pPr>
        <w:numPr>
          <w:ilvl w:val="0"/>
          <w:numId w:val="1"/>
        </w:numPr>
      </w:pPr>
      <w:r>
        <w:rPr/>
        <w:t xml:space="preserve">Nu se recomandă încălțămintea cu talpă din piele; se folosește încălțăminte cu talpă antiderapantă.</w:t>
      </w:r>
    </w:p>
    <w:p>
      <w:pPr>
        <w:numPr>
          <w:ilvl w:val="0"/>
          <w:numId w:val="1"/>
        </w:numPr>
      </w:pPr>
      <w:r>
        <w:rPr/>
        <w:t xml:space="preserve">Scara nu se folosește în apropierea instalațiilor electrice sub tensiune.</w:t>
      </w:r>
    </w:p>
    <w:p>
      <w:pPr>
        <w:pStyle w:val="Titlu"/>
        <w:keepNext/>
      </w:pPr>
      <w:r>
        <w:rPr/>
        <w:t xml:space="preserve">Păstrarea scărilor</w:t>
      </w:r>
    </w:p>
    <w:p>
      <w:pPr>
        <w:numPr>
          <w:ilvl w:val="0"/>
          <w:numId w:val="1"/>
        </w:numPr>
      </w:pPr>
      <w:r>
        <w:rPr/>
        <w:t xml:space="preserve">Scările se păstrează în locuri uscate, ferite de intemperii, așezate orizontal sau suspendate, fără sarcini pe ele.</w:t>
      </w:r>
    </w:p>
    <w:p>
      <w:pPr>
        <w:numPr>
          <w:ilvl w:val="0"/>
          <w:numId w:val="1"/>
        </w:numPr>
      </w:pPr>
      <w:r>
        <w:rPr/>
        <w:t xml:space="preserve">O scară deteriorată se retrage din folosință și se anunță conducătorul locului de muncă.</w:t>
      </w:r>
    </w:p>
    <w:sectPr>
      <w:pgSz w:w="11906" w:h="16838"/>
      <w:pgMar w:top="1134" w:right="1134" w:bottom="1134" w:left="1417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Art. %1."/>
      <w:lvlJc w:val="left"/>
      <w:pPr>
        <w:ind w:left="0" w:hanging="0"/>
      </w:pPr>
      <w:rPr>
        <w:b/>
      </w:rPr>
    </w:lvl>
    <w:lvl w:ilvl="1">
      <w:start w:val="1"/>
      <w:numFmt w:val="decimal"/>
      <w:lvlText w:val="%2."/>
      <w:lvlJc w:val="left"/>
      <w:pPr>
        <w:ind w:left="720" w:hanging="360"/>
      </w:pPr>
      <w:rPr>
        <w:b w:val="0"/>
      </w:rPr>
    </w:lvl>
    <w:lvl w:ilvl="2">
      <w:start w:val="1"/>
      <w:numFmt w:val="lowerLetter"/>
      <w:lvlText w:val="%3)"/>
      <w:lvlJc w:val="left"/>
      <w:pPr>
        <w:ind w:left="720" w:hanging="360"/>
      </w:pPr>
      <w:rPr>
        <w:b w:val="0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ro-RO" w:eastAsia="ro-RO" w:bidi="ro-RO"/>
      </w:rPr>
    </w:rPrDefault>
    <w:pPrDefault>
      <w:pPr>
        <w:spacing w:after="120" w:line="240" w:lineRule="auto"/>
        <w:jc w:val="left"/>
      </w:pPr>
    </w:pPrDefault>
  </w:docDefaults>
  <w:style w:type="paragraph" w:default="1" w:styleId="Normal">
    <w:name w:val="Normal"/>
    <w:qFormat/>
  </w:style>
  <w:style w:type="paragraph" w:styleId="Titlu">
    <w:name w:val="Titlu"/>
    <w:basedOn w:val="Normal"/>
    <w:next w:val="Normal"/>
    <w:qFormat/>
    <w:pPr>
      <w:keepNext/>
      <w:spacing w:before="240" w:after="120"/>
    </w:pPr>
    <w:rPr>
      <w:b/>
    </w:rPr>
  </w:style>
  <w:style w:type="character" w:default="1" w:styleId="DefaultParagraphFont">
    <w:name w:val="Default Paragraph Fo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