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INTRODUCTIV – 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Conform MISSMIG Art. 1 – 327;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PENTRU INSTRUIREA INTRODUCTIV – 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1146/2006, H.G. 493/2006; H.G. 259/2022; I.P.S.S.M. Art. 1 – 294;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circulația pietonilor și circulația bicicliștilor (atât în interiorul unității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100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101 – 171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172 – 191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192 – 209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210 – 240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241 – 260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261 – 294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la nivelul locurilor de muncă și/ sau posturilor de lucru privind acordarea, utilizarea,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