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7143"/>
        <w:gridCol w:w="7144"/>
      </w:tblGrid>
      <w:tr>
        <w:trPr>
          <w:cantSplit/>
        </w:trPr>
        <w:tc>
          <w:tcPr>
            <w:tcW w:w="7143"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7144"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Conform Legii 319/ 2006 – Legea securității și sănătății în muncă, </w:t>
      </w:r>
      <w:r>
        <w:rPr>
          <w:rFonts w:eastAsia="Arial" w:cs="Arial" w:ascii="Arial" w:hAnsi="Arial"/>
          <w:b/>
          <w:bCs/>
          <w:color w:val="auto"/>
          <w:spacing w:val="0"/>
          <w:w w:val="100"/>
          <w:sz w:val="20"/>
          <w:szCs w:val="20"/>
          <w:lang w:val="ro-RO"/>
        </w:rPr>
        <w:t>«</w:t>
      </w:r>
      <w:r>
        <w:rPr>
          <w:rFonts w:eastAsia="Arial" w:cs="Arial" w:ascii="Arial" w:hAnsi="Arial"/>
          <w:bCs/>
          <w:color w:val="auto"/>
          <w:spacing w:val="0"/>
          <w:w w:val="100"/>
          <w:sz w:val="20"/>
          <w:szCs w:val="20"/>
          <w:lang w:val="ro-RO"/>
        </w:rPr>
        <w:t xml:space="preserve"> Art. 12. alin. (1)</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Angajatorul trebuie: </w:t>
      </w:r>
      <w:r>
        <w:rPr>
          <w:rFonts w:eastAsia="Arial" w:cs="Arial" w:ascii="Arial" w:hAnsi="Arial"/>
          <w:bCs/>
          <w:color w:val="auto"/>
          <w:spacing w:val="0"/>
          <w:w w:val="100"/>
          <w:sz w:val="20"/>
          <w:szCs w:val="20"/>
          <w:lang w:val="ro-RO"/>
        </w:rPr>
        <w:t>b)</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decidă asupra măsurilor de protecție care trebuie luate și, după caz, asupra echipamentului de protecție care trebuie utilizat; </w:t>
      </w:r>
      <w:r>
        <w:rPr>
          <w:rFonts w:eastAsia="Arial" w:cs="Arial" w:ascii="Arial" w:hAnsi="Arial"/>
          <w:b/>
          <w:bCs/>
          <w:color w:val="auto"/>
          <w:spacing w:val="0"/>
          <w:w w:val="100"/>
          <w:sz w:val="20"/>
          <w:szCs w:val="20"/>
          <w:lang w:val="ro-RO"/>
        </w:rPr>
        <w:t>»</w:t>
      </w:r>
    </w:p>
    <w:p>
      <w:pPr>
        <w:pStyle w:val="Normal"/>
        <w:widowControl/>
        <w:spacing w:before="0" w:after="120"/>
        <w:ind w:hanging="0" w:right="0"/>
        <w:jc w:val="left"/>
        <w:rPr>
          <w:rFonts w:ascii="Arial" w:hAnsi="Arial" w:cs="Arial"/>
          <w:b/>
          <w:bCs/>
          <w:sz w:val="20"/>
          <w:szCs w:val="20"/>
          <w:lang w:val="ro-RO"/>
        </w:rPr>
      </w:pPr>
      <w:r>
        <w:rPr>
          <w:rStyle w:val="ar1"/>
          <w:rFonts w:eastAsia="Arial" w:cs="Arial" w:ascii="Arial" w:hAnsi="Arial"/>
          <w:b w:val="false"/>
          <w:color w:val="auto"/>
          <w:spacing w:val="0"/>
          <w:w w:val="100"/>
          <w:sz w:val="20"/>
          <w:szCs w:val="20"/>
          <w:lang w:val="ro-RO"/>
        </w:rPr>
        <w:t>Pentru a aduce la îndeplinire cerințele legii 319/ 2006 și cerințele H.G. 1425/ 2006, Art. 15.</w:t>
      </w:r>
      <w:r>
        <w:rPr>
          <w:rStyle w:val="al1"/>
          <w:rFonts w:eastAsia="Arial" w:cs="Arial" w:ascii="Arial" w:hAnsi="Arial"/>
          <w:b w:val="false"/>
          <w:color w:val="auto"/>
          <w:spacing w:val="0"/>
          <w:w w:val="100"/>
          <w:sz w:val="20"/>
          <w:szCs w:val="20"/>
          <w:lang w:val="ro-RO"/>
        </w:rPr>
        <w:t xml:space="preserve"> alin, (1) </w:t>
      </w:r>
      <w:r>
        <w:rPr>
          <w:rFonts w:eastAsia="Arial" w:cs="Arial" w:ascii="Arial" w:hAnsi="Arial"/>
          <w:color w:val="auto"/>
          <w:spacing w:val="0"/>
          <w:w w:val="100"/>
          <w:sz w:val="20"/>
          <w:szCs w:val="20"/>
          <w:lang w:val="ro-RO"/>
        </w:rPr>
        <w:t>punctul</w:t>
      </w:r>
      <w:r>
        <w:rPr>
          <w:rFonts w:eastAsia="Arial" w:cs="Arial" w:ascii="Arial" w:hAnsi="Arial"/>
          <w:b/>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20: </w:t>
      </w:r>
      <w:r>
        <w:rPr>
          <w:rStyle w:val="tal1"/>
          <w:rFonts w:eastAsia="Arial" w:cs="Arial" w:ascii="Arial" w:hAnsi="Arial"/>
          <w:color w:val="auto"/>
          <w:spacing w:val="0"/>
          <w:w w:val="100"/>
          <w:sz w:val="20"/>
          <w:szCs w:val="20"/>
          <w:lang w:val="ro-RO"/>
        </w:rPr>
        <w:t>Activitățile de prevenire și protecție desfășurate prin modalitățile prevăzute la art. 14 în cadrul unității sunt următoarele:</w:t>
      </w:r>
      <w:bookmarkStart w:id="0" w:name="do|caIII|si2|ar15|al1|pt20"/>
      <w:r>
        <w:rPr>
          <w:rFonts w:eastAsia="Arial" w:cs="Arial" w:ascii="Arial" w:hAnsi="Arial"/>
          <w:b/>
          <w:color w:val="auto"/>
          <w:spacing w:val="0"/>
          <w:w w:val="100"/>
          <w:sz w:val="20"/>
          <w:szCs w:val="20"/>
          <w:lang w:val="ro-RO"/>
        </w:rPr>
        <w:t xml:space="preserve"> </w:t>
      </w:r>
      <w:bookmarkEnd w:id="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H.G. </w:t>
      </w:r>
      <w:r>
        <w:rPr>
          <w:rFonts w:eastAsia="Arial" w:cs="Arial" w:ascii="Arial" w:hAnsi="Arial"/>
          <w:b w:val="false"/>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funcții de încadrare și activitatea desfășurată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108" w:type="dxa"/>
        <w:tblLayout w:type="fixed"/>
        <w:tblCellMar>
          <w:top w:w="17" w:type="dxa"/>
          <w:left w:w="108" w:type="dxa"/>
          <w:bottom w:w="17" w:type="dxa"/>
          <w:right w:w="108" w:type="dxa"/>
        </w:tblCellMar>
      </w:tblPr>
      <w:tblGrid>
        <w:gridCol w:w="727"/>
        <w:gridCol w:w="4525"/>
        <w:gridCol w:w="4737"/>
        <w:gridCol w:w="4298"/>
      </w:tblGrid>
      <w:tr>
        <w:trPr>
          <w:tblHeader w:val="true"/>
          <w:trHeight w:val="70" w:hRule="atLeast"/>
        </w:trPr>
        <w:tc>
          <w:tcPr>
            <w:tcW w:w="727" w:type="dxa"/>
            <w:tcBorders>
              <w:top w:val="single" w:sz="4" w:space="0" w:color="000000"/>
              <w:left w:val="single" w:sz="4" w:space="0" w:color="000000"/>
              <w:bottom w:val="single" w:sz="4" w:space="0" w:color="000000"/>
              <w:right w:val="single" w:sz="4" w:space="0" w:color="000000"/>
            </w:tcBorders>
            <w:shd w:fill="F3F3F3" w:val="clear"/>
          </w:tcPr>
          <w:p>
            <w:pPr>
              <w:pStyle w:val="Normal"/>
              <w:keepNext w:val="true"/>
              <w:widowControl/>
              <w:spacing w:before="0" w:after="0"/>
              <w:ind w:left="-108" w:right="-112"/>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4525"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ind w:left="12" w:right="0"/>
              <w:jc w:val="center"/>
              <w:rPr>
                <w:rFonts w:ascii="Arial" w:hAnsi="Arial" w:cs="Arial"/>
                <w:b/>
                <w:sz w:val="20"/>
                <w:szCs w:val="20"/>
              </w:rPr>
            </w:pPr>
            <w:r>
              <w:rPr>
                <w:rFonts w:eastAsia="Arial" w:cs="Arial" w:ascii="Arial" w:hAnsi="Arial"/>
                <w:b/>
                <w:color w:val="auto"/>
                <w:spacing w:val="0"/>
                <w:w w:val="100"/>
                <w:sz w:val="20"/>
                <w:szCs w:val="20"/>
                <w:lang w:val="ro-RO"/>
              </w:rPr>
              <w:t>Funcția de încadrare</w:t>
            </w:r>
          </w:p>
        </w:tc>
        <w:tc>
          <w:tcPr>
            <w:tcW w:w="473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Activitate desfășurată</w:t>
            </w:r>
          </w:p>
        </w:tc>
        <w:tc>
          <w:tcPr>
            <w:tcW w:w="429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ind w:left="-89" w:right="-63"/>
              <w:jc w:val="center"/>
              <w:rPr>
                <w:rFonts w:ascii="Arial" w:hAnsi="Arial" w:cs="Arial"/>
                <w:b/>
                <w:sz w:val="20"/>
                <w:szCs w:val="20"/>
                <w:lang w:val="it-CH"/>
              </w:rPr>
            </w:pPr>
            <w:r>
              <w:rPr>
                <w:rFonts w:eastAsia="Arial" w:cs="Arial" w:ascii="Arial" w:hAnsi="Arial"/>
                <w:b/>
                <w:color w:val="auto"/>
                <w:spacing w:val="0"/>
                <w:w w:val="100"/>
                <w:sz w:val="20"/>
                <w:szCs w:val="20"/>
                <w:lang w:val="ro-RO"/>
              </w:rPr>
              <w:t>Departament de încadrare</w:t>
            </w:r>
          </w:p>
        </w:tc>
      </w:tr>
      <w:tr>
        <w:trPr>
          <w:trHeight w:val="60" w:hRule="atLeast"/>
        </w:trPr>
        <w:tc>
          <w:tcPr>
            <w:tcW w:w="727"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6"/>
              </w:numPr>
              <w:snapToGrid w:val="false"/>
              <w:spacing w:before="0" w:after="0"/>
              <w:jc w:val="center"/>
              <w:rPr>
                <w:rFonts w:ascii="Arial" w:hAnsi="Arial" w:cs="Arial"/>
                <w:b/>
                <w:sz w:val="20"/>
                <w:szCs w:val="20"/>
              </w:rPr>
            </w:pPr>
            <w:r>
              <w:rPr>
                <w:rFonts w:eastAsia="Arial" w:cs="Arial" w:ascii="Arial" w:hAnsi="Arial"/>
                <w:b/>
                <w:color w:val="auto"/>
                <w:spacing w:val="0"/>
                <w:w w:val="100"/>
                <w:sz w:val="20"/>
                <w:szCs w:val="20"/>
                <w:lang w:val="ro-RO"/>
              </w:rPr>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Conducător antrepriza construcții - montaj</w:t>
            </w:r>
          </w:p>
        </w:tc>
        <w:tc>
          <w:tcPr>
            <w:tcW w:w="473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Coordonare activitate</w:t>
            </w:r>
          </w:p>
        </w:tc>
        <w:tc>
          <w:tcPr>
            <w:tcW w:w="429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Administrativ</w:t>
            </w:r>
          </w:p>
        </w:tc>
      </w:tr>
      <w:tr>
        <w:trPr>
          <w:trHeight w:val="60" w:hRule="atLeast"/>
        </w:trPr>
        <w:tc>
          <w:tcPr>
            <w:tcW w:w="727"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6"/>
              </w:numPr>
              <w:snapToGrid w:val="false"/>
              <w:spacing w:before="0" w:after="0"/>
              <w:jc w:val="center"/>
              <w:rPr>
                <w:rFonts w:ascii="Arial" w:hAnsi="Arial" w:cs="Arial"/>
                <w:b/>
                <w:sz w:val="20"/>
                <w:szCs w:val="20"/>
              </w:rPr>
            </w:pPr>
            <w:r>
              <w:rPr>
                <w:rFonts w:eastAsia="Arial" w:cs="Arial" w:ascii="Arial" w:hAnsi="Arial"/>
                <w:b/>
                <w:color w:val="auto"/>
                <w:spacing w:val="0"/>
                <w:w w:val="100"/>
                <w:sz w:val="20"/>
                <w:szCs w:val="20"/>
                <w:lang w:val="ro-RO"/>
              </w:rPr>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Director vânzări</w:t>
            </w:r>
          </w:p>
        </w:tc>
        <w:tc>
          <w:tcPr>
            <w:tcW w:w="473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Activități de vânzare</w:t>
            </w:r>
          </w:p>
        </w:tc>
        <w:tc>
          <w:tcPr>
            <w:tcW w:w="429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Vânzare</w:t>
            </w:r>
          </w:p>
        </w:tc>
      </w:tr>
      <w:tr>
        <w:trPr>
          <w:trHeight w:val="60" w:hRule="atLeast"/>
        </w:trPr>
        <w:tc>
          <w:tcPr>
            <w:tcW w:w="727"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6"/>
              </w:numPr>
              <w:snapToGrid w:val="false"/>
              <w:spacing w:before="0" w:after="0"/>
              <w:jc w:val="center"/>
              <w:rPr>
                <w:rFonts w:ascii="Arial" w:hAnsi="Arial" w:cs="Arial"/>
                <w:b/>
                <w:sz w:val="20"/>
                <w:szCs w:val="20"/>
              </w:rPr>
            </w:pPr>
            <w:r>
              <w:rPr>
                <w:rFonts w:eastAsia="Arial" w:cs="Arial" w:ascii="Arial" w:hAnsi="Arial"/>
                <w:b/>
                <w:color w:val="auto"/>
                <w:spacing w:val="0"/>
                <w:w w:val="100"/>
                <w:sz w:val="20"/>
                <w:szCs w:val="20"/>
                <w:lang w:val="ro-RO"/>
              </w:rPr>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Operator montaj linii automate</w:t>
            </w:r>
          </w:p>
        </w:tc>
        <w:tc>
          <w:tcPr>
            <w:tcW w:w="473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Instalații criogenice</w:t>
            </w:r>
          </w:p>
        </w:tc>
        <w:tc>
          <w:tcPr>
            <w:tcW w:w="429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Execuție</w:t>
            </w:r>
          </w:p>
        </w:tc>
      </w:tr>
      <w:tr>
        <w:trPr>
          <w:trHeight w:val="60" w:hRule="atLeast"/>
        </w:trPr>
        <w:tc>
          <w:tcPr>
            <w:tcW w:w="727"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6"/>
              </w:numPr>
              <w:snapToGrid w:val="false"/>
              <w:spacing w:before="0" w:after="0"/>
              <w:jc w:val="center"/>
              <w:rPr>
                <w:rFonts w:ascii="Arial" w:hAnsi="Arial" w:cs="Arial"/>
                <w:b/>
                <w:sz w:val="20"/>
                <w:szCs w:val="20"/>
              </w:rPr>
            </w:pPr>
            <w:r>
              <w:rPr>
                <w:rFonts w:eastAsia="Arial" w:cs="Arial" w:ascii="Arial" w:hAnsi="Arial"/>
                <w:b/>
                <w:color w:val="auto"/>
                <w:spacing w:val="0"/>
                <w:w w:val="100"/>
                <w:sz w:val="20"/>
                <w:szCs w:val="20"/>
                <w:lang w:val="ro-RO"/>
              </w:rPr>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473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r>
          </w:p>
        </w:tc>
        <w:tc>
          <w:tcPr>
            <w:tcW w:w="4298"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jc w:val="center"/>
              <w:rPr>
                <w:rFonts w:ascii="Arial" w:hAnsi="Arial" w:eastAsia="Arial" w:cs="Arial"/>
                <w:color w:val="auto"/>
                <w:spacing w:val="0"/>
                <w:w w:val="100"/>
                <w:sz w:val="20"/>
                <w:szCs w:val="20"/>
                <w:lang w:val="ro-RO"/>
              </w:rPr>
            </w:pPr>
            <w:r>
              <w:rPr>
                <w:rFonts w:eastAsia="Arial" w:cs="Arial" w:ascii="Arial" w:hAnsi="Arial"/>
                <w:color w:val="auto"/>
                <w:spacing w:val="0"/>
                <w:w w:val="100"/>
                <w:sz w:val="20"/>
                <w:szCs w:val="20"/>
                <w:lang w:val="ro-RO"/>
              </w:rPr>
            </w:r>
          </w:p>
        </w:tc>
      </w:tr>
      <w:tr>
        <w:trPr>
          <w:trHeight w:val="60" w:hRule="atLeast"/>
        </w:trPr>
        <w:tc>
          <w:tcPr>
            <w:tcW w:w="727"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6"/>
              </w:numPr>
              <w:snapToGrid w:val="false"/>
              <w:spacing w:before="0" w:after="0"/>
              <w:jc w:val="center"/>
              <w:rPr>
                <w:rFonts w:ascii="Arial" w:hAnsi="Arial" w:cs="Arial"/>
                <w:b/>
                <w:sz w:val="20"/>
                <w:szCs w:val="20"/>
              </w:rPr>
            </w:pPr>
            <w:r>
              <w:rPr>
                <w:rFonts w:eastAsia="Arial" w:cs="Arial" w:ascii="Arial" w:hAnsi="Arial"/>
                <w:b/>
                <w:color w:val="auto"/>
                <w:spacing w:val="0"/>
                <w:w w:val="100"/>
                <w:sz w:val="20"/>
                <w:szCs w:val="20"/>
                <w:lang w:val="ro-RO"/>
              </w:rPr>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473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r>
          </w:p>
        </w:tc>
        <w:tc>
          <w:tcPr>
            <w:tcW w:w="4298"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jc w:val="center"/>
              <w:rPr>
                <w:rFonts w:ascii="Arial" w:hAnsi="Arial" w:eastAsia="Arial" w:cs="Arial"/>
                <w:color w:val="auto"/>
                <w:spacing w:val="0"/>
                <w:w w:val="100"/>
                <w:sz w:val="20"/>
                <w:szCs w:val="20"/>
                <w:lang w:val="ro-RO"/>
              </w:rPr>
            </w:pPr>
            <w:r>
              <w:rPr>
                <w:rFonts w:eastAsia="Arial" w:cs="Arial" w:ascii="Arial" w:hAnsi="Arial"/>
                <w:color w:val="auto"/>
                <w:spacing w:val="0"/>
                <w:w w:val="100"/>
                <w:sz w:val="20"/>
                <w:szCs w:val="20"/>
                <w:lang w:val="ro-RO"/>
              </w:rPr>
            </w:r>
          </w:p>
        </w:tc>
      </w:tr>
      <w:tr>
        <w:trPr>
          <w:trHeight w:val="60" w:hRule="atLeast"/>
        </w:trPr>
        <w:tc>
          <w:tcPr>
            <w:tcW w:w="727"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26"/>
              </w:numPr>
              <w:snapToGrid w:val="false"/>
              <w:spacing w:before="0" w:after="0"/>
              <w:jc w:val="center"/>
              <w:rPr>
                <w:rFonts w:ascii="Arial" w:hAnsi="Arial" w:cs="Arial"/>
                <w:b/>
                <w:sz w:val="20"/>
                <w:szCs w:val="20"/>
              </w:rPr>
            </w:pPr>
            <w:r>
              <w:rPr>
                <w:rFonts w:eastAsia="Arial" w:cs="Arial" w:ascii="Arial" w:hAnsi="Arial"/>
                <w:b/>
                <w:color w:val="auto"/>
                <w:spacing w:val="0"/>
                <w:w w:val="100"/>
                <w:sz w:val="20"/>
                <w:szCs w:val="20"/>
                <w:lang w:val="ro-RO"/>
              </w:rPr>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18"/>
                <w:szCs w:val="18"/>
                <w:lang w:val="da-DK"/>
              </w:rPr>
            </w:pPr>
            <w:r>
              <w:rPr>
                <w:rFonts w:eastAsia="Arial" w:cs="Arial" w:ascii="Arial" w:hAnsi="Arial"/>
                <w:color w:val="auto"/>
                <w:spacing w:val="0"/>
                <w:w w:val="100"/>
                <w:sz w:val="20"/>
                <w:szCs w:val="20"/>
                <w:lang w:val="ro-RO"/>
              </w:rPr>
            </w:r>
          </w:p>
        </w:tc>
        <w:tc>
          <w:tcPr>
            <w:tcW w:w="473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r>
          </w:p>
        </w:tc>
        <w:tc>
          <w:tcPr>
            <w:tcW w:w="4298"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jc w:val="center"/>
              <w:rPr>
                <w:rFonts w:ascii="Arial" w:hAnsi="Arial" w:eastAsia="Arial" w:cs="Arial"/>
                <w:color w:val="auto"/>
                <w:spacing w:val="0"/>
                <w:w w:val="100"/>
                <w:sz w:val="20"/>
                <w:szCs w:val="20"/>
                <w:lang w:val="ro-RO"/>
              </w:rPr>
            </w:pPr>
            <w:r>
              <w:rPr>
                <w:rFonts w:eastAsia="Arial" w:cs="Arial" w:ascii="Arial" w:hAnsi="Arial"/>
                <w:color w:val="auto"/>
                <w:spacing w:val="0"/>
                <w:w w:val="100"/>
                <w:sz w:val="20"/>
                <w:szCs w:val="20"/>
                <w:lang w:val="ro-RO"/>
              </w:rPr>
            </w:r>
          </w:p>
        </w:tc>
      </w:tr>
    </w:tbl>
    <w:p>
      <w:pPr>
        <w:pStyle w:val="Normal"/>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numPr>
          <w:ilvl w:val="0"/>
          <w:numId w:val="31"/>
        </w:numPr>
        <w:tabs>
          <w:tab w:val="clear" w:pos="720"/>
          <w:tab w:val="left" w:pos="90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Hotărârea 1048/09.08.2006 stabilește cerințele minime referitoare la echipamentul individual de protecție utilizat de lucrători la locul de muncă.</w:t>
      </w:r>
    </w:p>
    <w:p>
      <w:pPr>
        <w:pStyle w:val="Normal"/>
        <w:widowControl/>
        <w:numPr>
          <w:ilvl w:val="0"/>
          <w:numId w:val="31"/>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Prevederile Legii securității și sănătății în muncă nr. 319/2006 se aplică în totalitate domeniului menționat la art. 1, fără a aduce atingere dispozițiilor mai restrictive și/sau specifice cuprinse în prezenta hotărâre.</w:t>
      </w:r>
    </w:p>
    <w:p>
      <w:pPr>
        <w:pStyle w:val="Normal"/>
        <w:widowControl/>
        <w:numPr>
          <w:ilvl w:val="0"/>
          <w:numId w:val="31"/>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widowControl/>
        <w:numPr>
          <w:ilvl w:val="0"/>
          <w:numId w:val="31"/>
        </w:numPr>
        <w:tabs>
          <w:tab w:val="clear" w:pos="720"/>
          <w:tab w:val="left" w:pos="90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Sunt excluse din definiția cuprinsă la Art. 3:</w:t>
      </w:r>
    </w:p>
    <w:p>
      <w:pPr>
        <w:pStyle w:val="Normal"/>
        <w:widowControl/>
        <w:numPr>
          <w:ilvl w:val="0"/>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îmbrăcămintea de lucru și uniformele obișnuite care nu sunt proiectate în mod special pentru a proteja securitatea și sănătatea lucrătorului;</w:t>
      </w:r>
    </w:p>
    <w:p>
      <w:pPr>
        <w:pStyle w:val="Normal"/>
        <w:widowControl/>
        <w:numPr>
          <w:ilvl w:val="0"/>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folosit de serviciile de urgență și salvare;</w:t>
      </w:r>
    </w:p>
    <w:p>
      <w:pPr>
        <w:pStyle w:val="Normal"/>
        <w:widowControl/>
        <w:numPr>
          <w:ilvl w:val="0"/>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purtat sau folosit de armata, poliție ori de alte instituții de ordine publică;</w:t>
      </w:r>
    </w:p>
    <w:p>
      <w:pPr>
        <w:pStyle w:val="Normal"/>
        <w:widowControl/>
        <w:numPr>
          <w:ilvl w:val="0"/>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pentru mijloace de transport rutier;</w:t>
      </w:r>
    </w:p>
    <w:p>
      <w:pPr>
        <w:pStyle w:val="Normal"/>
        <w:widowControl/>
        <w:numPr>
          <w:ilvl w:val="0"/>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sportiv;</w:t>
      </w:r>
    </w:p>
    <w:p>
      <w:pPr>
        <w:pStyle w:val="Normal"/>
        <w:widowControl/>
        <w:numPr>
          <w:ilvl w:val="0"/>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de autoapărare sau de descurajare;</w:t>
      </w:r>
    </w:p>
    <w:p>
      <w:pPr>
        <w:pStyle w:val="Normal"/>
        <w:widowControl/>
        <w:numPr>
          <w:ilvl w:val="0"/>
          <w:numId w:val="32"/>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dispozitivele purtabile pentru detectarea și semnalizarea riscurilor și factorilor nocivi.</w:t>
      </w:r>
    </w:p>
    <w:p>
      <w:pPr>
        <w:pStyle w:val="Normal"/>
        <w:widowControl/>
        <w:numPr>
          <w:ilvl w:val="0"/>
          <w:numId w:val="31"/>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Obligațiile angajatorilor</w:t>
      </w:r>
    </w:p>
    <w:p>
      <w:pPr>
        <w:pStyle w:val="Normal"/>
        <w:widowControl/>
        <w:numPr>
          <w:ilvl w:val="0"/>
          <w:numId w:val="31"/>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trebuie să respecte prevederile Hotărârii Guvernului nr. 115/2004 privind stabilirea cerințelor esențiale de securitate ale echipamentelor individuale de protecție și a condițiilor pentru introducerea lor pe piata, cu modificările ulterioare.</w:t>
      </w:r>
    </w:p>
    <w:p>
      <w:pPr>
        <w:pStyle w:val="Normal"/>
        <w:widowControl/>
        <w:spacing w:before="0" w:after="60"/>
        <w:ind w:hanging="0"/>
        <w:jc w:val="left"/>
        <w:rPr>
          <w:rFonts w:ascii="Arial" w:hAnsi="Arial" w:cs="Arial"/>
          <w:sz w:val="20"/>
          <w:szCs w:val="20"/>
        </w:rPr>
      </w:pPr>
      <w:r>
        <w:rPr>
          <w:rFonts w:eastAsia="Arial" w:cs="Arial" w:ascii="Arial" w:hAnsi="Arial"/>
          <w:color w:val="auto"/>
          <w:spacing w:val="0"/>
          <w:w w:val="100"/>
          <w:sz w:val="20"/>
          <w:szCs w:val="20"/>
          <w:lang w:val="ro-RO"/>
        </w:rPr>
        <w:t>(2) Orice echipament individual de protecție trebuie să îndeplinească următoarele condiții:</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fie corespunzător pentru riscurile implicate, fără să conducă el însuși la un risc mărit;</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corespundă condițiilor existente la locul de muncă;</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ia în considerare cerințele ergonomice și starea sănătății lucrătorului;</w:t>
      </w:r>
    </w:p>
    <w:p>
      <w:pPr>
        <w:pStyle w:val="Normal"/>
        <w:widowControl/>
        <w:numPr>
          <w:ilvl w:val="0"/>
          <w:numId w:val="2"/>
        </w:numPr>
        <w:spacing w:before="0" w:after="120"/>
        <w:ind w:right="0"/>
        <w:jc w:val="left"/>
        <w:rPr>
          <w:rFonts w:ascii="Arial" w:hAnsi="Arial" w:cs="Arial"/>
          <w:sz w:val="20"/>
          <w:szCs w:val="20"/>
        </w:rPr>
      </w:pPr>
      <w:r>
        <w:rPr>
          <w:rFonts w:eastAsia="Arial" w:cs="Arial" w:ascii="Arial" w:hAnsi="Arial"/>
          <w:color w:val="auto"/>
          <w:spacing w:val="0"/>
          <w:w w:val="100"/>
          <w:sz w:val="20"/>
          <w:szCs w:val="20"/>
          <w:lang w:val="ro-RO"/>
        </w:rPr>
        <w:t>să se potrivească în mod corect persoanei care îl poarta, după toate ajustările necesare.</w:t>
      </w:r>
    </w:p>
    <w:p>
      <w:pPr>
        <w:pStyle w:val="Normal"/>
        <w:widowControl/>
        <w:numPr>
          <w:ilvl w:val="0"/>
          <w:numId w:val="31"/>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În cazul în care prezenta unor riscuri multiple impune purtarea simultană a mai multor echipamente individuale de protecție, aceste echipamente trebuie să fie compatibile și să își păstreze eficacitatea în raport cu riscul/riscurile respectiv/respective.</w:t>
      </w:r>
    </w:p>
    <w:p>
      <w:pPr>
        <w:pStyle w:val="Normal"/>
        <w:widowControl/>
        <w:numPr>
          <w:ilvl w:val="0"/>
          <w:numId w:val="31"/>
        </w:numPr>
        <w:tabs>
          <w:tab w:val="clear" w:pos="720"/>
          <w:tab w:val="left" w:pos="900" w:leader="none"/>
        </w:tabs>
        <w:spacing w:before="120" w:after="60"/>
        <w:ind w:hanging="0" w:left="446" w:right="0"/>
        <w:jc w:val="left"/>
        <w:rPr>
          <w:rFonts w:ascii="Arial" w:hAnsi="Arial" w:cs="Arial"/>
          <w:sz w:val="20"/>
          <w:szCs w:val="20"/>
        </w:rPr>
      </w:pPr>
      <w:r>
        <w:rPr>
          <w:rFonts w:eastAsia="Arial" w:cs="Arial" w:ascii="Arial" w:hAnsi="Arial"/>
          <w:color w:val="auto"/>
          <w:spacing w:val="0"/>
          <w:w w:val="100"/>
          <w:sz w:val="20"/>
          <w:szCs w:val="20"/>
          <w:lang w:val="ro-RO"/>
        </w:rPr>
        <w:t>Condițiile de utilizare a echipamentului individual de protecție, în special durata purtării, sunt determinate în funcție de gravitatea riscului, frecvența expunerii la risc, caracteristicile postului de lucru al fiecărui lucrător și de performanta echipamentului individual de protecție.</w:t>
      </w:r>
    </w:p>
    <w:p>
      <w:pPr>
        <w:pStyle w:val="Normal"/>
        <w:widowControl/>
        <w:numPr>
          <w:ilvl w:val="0"/>
          <w:numId w:val="31"/>
        </w:numPr>
        <w:tabs>
          <w:tab w:val="clear" w:pos="720"/>
          <w:tab w:val="left" w:pos="90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este, în principiu, destinat purtării de către o singură persoană.</w:t>
      </w:r>
    </w:p>
    <w:p>
      <w:pPr>
        <w:pStyle w:val="Normal"/>
        <w:widowControl/>
        <w:spacing w:before="0" w:after="40"/>
        <w:ind w:left="432" w:right="0"/>
        <w:jc w:val="left"/>
        <w:rPr>
          <w:rFonts w:ascii="Arial" w:hAnsi="Arial" w:cs="Arial"/>
          <w:sz w:val="20"/>
          <w:szCs w:val="20"/>
        </w:rPr>
      </w:pPr>
      <w:r>
        <w:rPr>
          <w:rFonts w:eastAsia="Arial" w:cs="Arial" w:ascii="Arial" w:hAnsi="Arial"/>
          <w:color w:val="auto"/>
          <w:spacing w:val="0"/>
          <w:w w:val="100"/>
          <w:sz w:val="20"/>
          <w:szCs w:val="20"/>
          <w:lang w:val="ro-RO"/>
        </w:rPr>
        <w:t>(2) Dacă împrejurările impun purtarea echipamentului individual de protecție de către mai multe persoane, se iau măsuri corespunzătoare pentru a se asigura ca aceasta utilizare nu creează diferiților utilizatori nicio problema de sănătate sau de igienă.</w:t>
      </w:r>
    </w:p>
    <w:p>
      <w:pPr>
        <w:pStyle w:val="Normal"/>
        <w:widowControl/>
        <w:numPr>
          <w:ilvl w:val="0"/>
          <w:numId w:val="31"/>
        </w:numPr>
        <w:tabs>
          <w:tab w:val="clear" w:pos="720"/>
          <w:tab w:val="left" w:pos="900" w:leader="none"/>
          <w:tab w:val="left" w:pos="1080" w:leader="none"/>
          <w:tab w:val="left" w:pos="1170" w:leader="none"/>
          <w:tab w:val="left" w:pos="126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În cadrul întreprinderii și/sau unității trebuie să se furnizeze și să fie disponibile informații adecvate privind fiecare echipament individual de protecție impus în conformitate cu art. 5 și 6.</w:t>
      </w:r>
    </w:p>
    <w:p>
      <w:pPr>
        <w:pStyle w:val="Normal"/>
        <w:widowControl/>
        <w:numPr>
          <w:ilvl w:val="0"/>
          <w:numId w:val="31"/>
        </w:numPr>
        <w:tabs>
          <w:tab w:val="clear" w:pos="720"/>
          <w:tab w:val="left" w:pos="900" w:leader="none"/>
          <w:tab w:val="left" w:pos="117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se distribuie gratuit de angajator, care asigură buna să funcționare și o stare de igiena satisfăcătoare prin intermediul întreținerii, reparării și înlocuirilor necesare.</w:t>
      </w:r>
    </w:p>
    <w:p>
      <w:pPr>
        <w:pStyle w:val="Normal"/>
        <w:widowControl/>
        <w:tabs>
          <w:tab w:val="clear" w:pos="720"/>
          <w:tab w:val="left" w:pos="900" w:leader="none"/>
          <w:tab w:val="left" w:pos="1350" w:leader="none"/>
        </w:tabs>
        <w:spacing w:before="0" w:after="40"/>
        <w:ind w:left="432" w:right="288"/>
        <w:jc w:val="left"/>
        <w:rPr>
          <w:rFonts w:ascii="Arial" w:hAnsi="Arial" w:cs="Arial"/>
          <w:sz w:val="20"/>
          <w:szCs w:val="20"/>
        </w:rPr>
      </w:pPr>
      <w:r>
        <w:rPr>
          <w:rFonts w:eastAsia="Arial" w:cs="Arial" w:ascii="Arial" w:hAnsi="Arial"/>
          <w:color w:val="auto"/>
          <w:spacing w:val="0"/>
          <w:w w:val="100"/>
          <w:sz w:val="20"/>
          <w:szCs w:val="20"/>
          <w:lang w:val="ro-RO"/>
        </w:rPr>
        <w:t>(2) Ministerul Muncii, Solidarității Sociale și Familiei poate stabili dispoziții pe baza cărora să se impună ca lucrătorul să contribuie la costul unui anumit echipament individual de protecție, în situațiile în care utilizarea echipamentului nu este exclusiv pentru locul de muncă.</w:t>
      </w:r>
    </w:p>
    <w:p>
      <w:pPr>
        <w:pStyle w:val="Normal"/>
        <w:widowControl/>
        <w:numPr>
          <w:ilvl w:val="0"/>
          <w:numId w:val="31"/>
        </w:numPr>
        <w:tabs>
          <w:tab w:val="clear" w:pos="720"/>
          <w:tab w:val="left" w:pos="900" w:leader="none"/>
          <w:tab w:val="left" w:pos="99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Angajatorul informează mai întâi lucrătorul despre riscurile împotriva cărora îl protejează purtarea echipamentului individual de protecție.</w:t>
      </w:r>
    </w:p>
    <w:p>
      <w:pPr>
        <w:pStyle w:val="Normal"/>
        <w:widowControl/>
        <w:numPr>
          <w:ilvl w:val="0"/>
          <w:numId w:val="31"/>
        </w:numPr>
        <w:tabs>
          <w:tab w:val="clear" w:pos="720"/>
          <w:tab w:val="left" w:pos="900" w:leader="none"/>
          <w:tab w:val="left" w:pos="108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Angajatorul asigură instruirea lucrătorului și, dacă este cazul, organizează antrenamente pentru modul de purtare a echipamentului individual de protecție.</w:t>
      </w:r>
    </w:p>
    <w:p>
      <w:pPr>
        <w:pStyle w:val="Normal"/>
        <w:widowControl/>
        <w:numPr>
          <w:ilvl w:val="0"/>
          <w:numId w:val="31"/>
        </w:numPr>
        <w:tabs>
          <w:tab w:val="clear" w:pos="720"/>
          <w:tab w:val="left" w:pos="900" w:leader="none"/>
          <w:tab w:val="left" w:pos="1080" w:leader="none"/>
        </w:tabs>
        <w:spacing w:before="120" w:after="60"/>
        <w:ind w:hanging="0" w:left="446" w:right="288"/>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poate fi utilizat numai în scopurile specificate și în conformitate cu fișa de instrucțiuni, cu excepția împrejurărilor specifice și excepționale.</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(2) Instrucțiunile trebuie să fie pe înțelesul lucrătorilor.</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Evaluarea echipamentului individual de protecție</w:t>
      </w:r>
    </w:p>
    <w:p>
      <w:pPr>
        <w:pStyle w:val="Normal"/>
        <w:widowControl/>
        <w:numPr>
          <w:ilvl w:val="0"/>
          <w:numId w:val="31"/>
        </w:numPr>
        <w:tabs>
          <w:tab w:val="clear" w:pos="720"/>
          <w:tab w:val="left" w:pos="900" w:leader="none"/>
          <w:tab w:val="left" w:pos="1080" w:leader="none"/>
        </w:tabs>
        <w:spacing w:before="120" w:after="60"/>
        <w:ind w:hanging="0" w:left="446" w:right="288"/>
        <w:jc w:val="left"/>
        <w:rPr>
          <w:rFonts w:ascii="Arial" w:hAnsi="Arial" w:cs="Arial"/>
          <w:sz w:val="20"/>
          <w:szCs w:val="20"/>
        </w:rPr>
      </w:pPr>
      <w:r>
        <w:rPr>
          <w:rFonts w:eastAsia="Arial" w:cs="Arial" w:ascii="Arial" w:hAnsi="Arial"/>
          <w:color w:val="auto"/>
          <w:spacing w:val="0"/>
          <w:w w:val="100"/>
          <w:sz w:val="20"/>
          <w:szCs w:val="20"/>
          <w:lang w:val="ro-RO"/>
        </w:rPr>
        <w:t>(1) Înainte de a alege echipamentul individual de protecție, angajatorul trebuie să evalueze dacă echipamentul individual de protecție pe care intenționează să îl folosească îndeplinește cerințele prevăzute la art. 6 și 7.</w:t>
      </w:r>
    </w:p>
    <w:p>
      <w:pPr>
        <w:pStyle w:val="Normal"/>
        <w:widowControl/>
        <w:spacing w:before="0" w:after="60"/>
        <w:ind w:hanging="0"/>
        <w:jc w:val="left"/>
        <w:rPr>
          <w:rFonts w:ascii="Arial" w:hAnsi="Arial" w:cs="Arial"/>
          <w:sz w:val="20"/>
          <w:szCs w:val="20"/>
        </w:rPr>
      </w:pPr>
      <w:r>
        <w:rPr>
          <w:rFonts w:eastAsia="Arial" w:cs="Arial" w:ascii="Arial" w:hAnsi="Arial"/>
          <w:color w:val="auto"/>
          <w:spacing w:val="0"/>
          <w:w w:val="100"/>
          <w:sz w:val="20"/>
          <w:szCs w:val="20"/>
          <w:lang w:val="ro-RO"/>
        </w:rPr>
        <w:t>(2) Aceasta evaluare cuprinde:</w:t>
      </w:r>
    </w:p>
    <w:p>
      <w:pPr>
        <w:pStyle w:val="Normal"/>
        <w:widowControl/>
        <w:numPr>
          <w:ilvl w:val="0"/>
          <w:numId w:val="3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analiza și evaluarea riscurilor care nu pot fi evitate prin alte mijloace;</w:t>
      </w:r>
    </w:p>
    <w:p>
      <w:pPr>
        <w:pStyle w:val="Normal"/>
        <w:widowControl/>
        <w:numPr>
          <w:ilvl w:val="0"/>
          <w:numId w:val="30"/>
        </w:numPr>
        <w:spacing w:before="0" w:after="40"/>
        <w:ind w:right="288"/>
        <w:jc w:val="left"/>
        <w:rPr>
          <w:rFonts w:ascii="Arial" w:hAnsi="Arial" w:cs="Arial"/>
          <w:sz w:val="20"/>
          <w:szCs w:val="20"/>
        </w:rPr>
      </w:pPr>
      <w:r>
        <w:rPr>
          <w:rFonts w:eastAsia="Arial" w:cs="Arial" w:ascii="Arial" w:hAnsi="Arial"/>
          <w:color w:val="auto"/>
          <w:spacing w:val="0"/>
          <w:w w:val="100"/>
          <w:sz w:val="20"/>
          <w:szCs w:val="20"/>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30"/>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compararea caracteristicilor echipamentului individual de protecție disponibil cu caracteristicile prevăzute la lit. b).</w:t>
      </w:r>
    </w:p>
    <w:p>
      <w:pPr>
        <w:pStyle w:val="Normal"/>
        <w:widowControl/>
        <w:numPr>
          <w:ilvl w:val="0"/>
          <w:numId w:val="31"/>
        </w:numPr>
        <w:tabs>
          <w:tab w:val="clear" w:pos="720"/>
          <w:tab w:val="left" w:pos="900" w:leader="none"/>
          <w:tab w:val="left" w:pos="108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Evaluarea prevăzută la art. 15 este revizuită în funcție de modificările aduse oricărui element al echipamentului individual de protecție.</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Reguli de utilizare</w:t>
      </w:r>
    </w:p>
    <w:p>
      <w:pPr>
        <w:pStyle w:val="Normal"/>
        <w:widowControl/>
        <w:numPr>
          <w:ilvl w:val="0"/>
          <w:numId w:val="31"/>
        </w:numPr>
        <w:tabs>
          <w:tab w:val="clear" w:pos="720"/>
          <w:tab w:val="left" w:pos="900" w:leader="none"/>
          <w:tab w:val="left" w:pos="108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(1) Fără a aduce atingere prevederilor art. 6-16, Ministerul Muncii, Solidarității Sociale și Familiei stabilește reguli generale pentru utilizarea echipamentului individual de protecție și/sau reguli care reglementează cazurile și situațiile în care angajatorul trebuie să furnizeze echipamentul individual de protecție, luând în considerare reglementările tehnice romane care transpun legislația comunitară privind libera circulație a acestui echipament.</w:t>
      </w:r>
    </w:p>
    <w:p>
      <w:pPr>
        <w:pStyle w:val="Normal"/>
        <w:widowControl/>
        <w:spacing w:before="0" w:after="40"/>
        <w:ind w:left="432" w:right="288"/>
        <w:jc w:val="left"/>
        <w:rPr>
          <w:rFonts w:ascii="Arial" w:hAnsi="Arial" w:cs="Arial"/>
          <w:sz w:val="20"/>
          <w:szCs w:val="20"/>
        </w:rPr>
      </w:pPr>
      <w:r>
        <w:rPr>
          <w:rFonts w:eastAsia="Arial" w:cs="Arial" w:ascii="Arial" w:hAnsi="Arial"/>
          <w:color w:val="auto"/>
          <w:spacing w:val="0"/>
          <w:w w:val="100"/>
          <w:sz w:val="20"/>
          <w:szCs w:val="20"/>
          <w:lang w:val="ro-RO"/>
        </w:rPr>
        <w:t>(2) Aceste reguli indică, în special, împrejurările sau situațiile de risc în care este necesară utilizarea echipamentului individual de protecție, fără a aduce atingere priorității care trebuie să se acorde mijloacelor de protecție colectivă.</w:t>
      </w:r>
    </w:p>
    <w:p>
      <w:pPr>
        <w:pStyle w:val="Normal"/>
        <w:widowControl/>
        <w:spacing w:before="0" w:after="40"/>
        <w:ind w:left="432" w:right="288"/>
        <w:jc w:val="left"/>
        <w:rPr>
          <w:rFonts w:ascii="Arial" w:hAnsi="Arial" w:cs="Arial"/>
          <w:sz w:val="20"/>
          <w:szCs w:val="20"/>
        </w:rPr>
      </w:pPr>
      <w:r>
        <w:rPr>
          <w:rFonts w:eastAsia="Arial" w:cs="Arial" w:ascii="Arial" w:hAnsi="Arial"/>
          <w:color w:val="auto"/>
          <w:spacing w:val="0"/>
          <w:w w:val="100"/>
          <w:sz w:val="20"/>
          <w:szCs w:val="20"/>
          <w:lang w:val="ro-RO"/>
        </w:rPr>
        <w:t>(3) Anexele nr. 1-3 au un caracter orientativ, conțin informații utile pentru stabilirea acestor reguli.</w:t>
      </w:r>
    </w:p>
    <w:p>
      <w:pPr>
        <w:pStyle w:val="Normal"/>
        <w:widowControl/>
        <w:numPr>
          <w:ilvl w:val="0"/>
          <w:numId w:val="31"/>
        </w:numPr>
        <w:tabs>
          <w:tab w:val="clear" w:pos="720"/>
          <w:tab w:val="left" w:pos="900" w:leader="none"/>
          <w:tab w:val="left" w:pos="108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Atunci când Ministerul Muncii, Solidarității Sociale și Familiei adaptează regulile prevăzute la art. 17, acesta ia în considerare orice modificări semnificative ale riscului, mijloacelor de protecție colectivă și echipamentelor individuale de protecție, determinate de evoluțiile tehnologice.</w:t>
      </w:r>
    </w:p>
    <w:p>
      <w:pPr>
        <w:pStyle w:val="Normal"/>
        <w:widowControl/>
        <w:numPr>
          <w:ilvl w:val="0"/>
          <w:numId w:val="31"/>
        </w:numPr>
        <w:tabs>
          <w:tab w:val="clear" w:pos="720"/>
          <w:tab w:val="left" w:pos="900" w:leader="none"/>
          <w:tab w:val="left" w:pos="108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Ministerul Muncii, Solidarității Sociale și Familiei consulta organizațiile angajatorilor și lucrătorilor cu privire la regulile prevăzute la art. 17 și 18.</w:t>
      </w:r>
    </w:p>
    <w:p>
      <w:pPr>
        <w:pStyle w:val="Normal"/>
        <w:widowControl/>
        <w:tabs>
          <w:tab w:val="clear" w:pos="720"/>
          <w:tab w:val="left" w:pos="6300"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Informarea, consultarea și participarea lucrătorilor</w:t>
      </w:r>
    </w:p>
    <w:p>
      <w:pPr>
        <w:pStyle w:val="Normal"/>
        <w:widowControl/>
        <w:spacing w:before="0" w:after="40"/>
        <w:ind w:left="432" w:right="288"/>
        <w:jc w:val="left"/>
        <w:rPr>
          <w:rFonts w:ascii="Arial" w:hAnsi="Arial" w:cs="Arial"/>
          <w:b/>
          <w:bCs/>
          <w:sz w:val="20"/>
          <w:szCs w:val="20"/>
        </w:rPr>
      </w:pPr>
      <w:r>
        <w:rPr>
          <w:rFonts w:eastAsia="Arial" w:cs="Arial" w:ascii="Arial" w:hAnsi="Arial"/>
          <w:b/>
          <w:bCs/>
          <w:color w:val="auto"/>
          <w:spacing w:val="0"/>
          <w:w w:val="100"/>
          <w:sz w:val="20"/>
          <w:szCs w:val="20"/>
          <w:lang w:val="ro-RO"/>
        </w:rPr>
        <w:t>Art. 20</w:t>
      </w:r>
      <w:r>
        <w:rPr>
          <w:rFonts w:eastAsia="Arial" w:cs="Arial" w:ascii="Arial" w:hAnsi="Arial"/>
          <w:color w:val="auto"/>
          <w:spacing w:val="0"/>
          <w:w w:val="100"/>
          <w:sz w:val="20"/>
          <w:szCs w:val="20"/>
          <w:lang w:val="ro-RO"/>
        </w:rPr>
        <w:t xml:space="preserve"> Fără a aduce atingere prevederilor art. 16 din Legea securității și sănătății în muncă nr. 319/2006, lucrătorii și/sau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spacing w:before="0" w:after="40"/>
        <w:ind w:left="432" w:right="432"/>
        <w:jc w:val="left"/>
        <w:rPr>
          <w:rFonts w:ascii="Arial" w:hAnsi="Arial" w:cs="Arial"/>
          <w:b/>
          <w:bCs/>
          <w:sz w:val="20"/>
          <w:szCs w:val="20"/>
        </w:rPr>
      </w:pPr>
      <w:r>
        <w:rPr>
          <w:rFonts w:eastAsia="Arial" w:cs="Arial" w:ascii="Arial" w:hAnsi="Arial"/>
          <w:b/>
          <w:bCs/>
          <w:color w:val="auto"/>
          <w:spacing w:val="0"/>
          <w:w w:val="100"/>
          <w:sz w:val="20"/>
          <w:szCs w:val="20"/>
          <w:lang w:val="ro-RO"/>
        </w:rPr>
        <w:t>Art. 21</w:t>
      </w:r>
      <w:r>
        <w:rPr>
          <w:rFonts w:eastAsia="Arial" w:cs="Arial" w:ascii="Arial" w:hAnsi="Arial"/>
          <w:color w:val="auto"/>
          <w:spacing w:val="0"/>
          <w:w w:val="100"/>
          <w:sz w:val="20"/>
          <w:szCs w:val="20"/>
          <w:lang w:val="ro-RO"/>
        </w:rPr>
        <w:t xml:space="preserve"> Consultarea și participarea lucrătorilor și/sau a reprezentanților acestora cu privire la problemele la care se face referire în acest document, inclusiv în anexele acestuia, se desfășoară în conformitate cu prevederile art. 18 din Legea nr. 319/2006.</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1</w:t>
      </w:r>
    </w:p>
    <w:p>
      <w:pPr>
        <w:pStyle w:val="Normal"/>
        <w:widowControl/>
        <w:spacing w:before="0" w:after="60"/>
        <w:ind w:hanging="0"/>
        <w:jc w:val="left"/>
        <w:rPr>
          <w:rFonts w:ascii="Arial" w:hAnsi="Arial" w:cs="Arial"/>
          <w:b/>
          <w:bCs/>
          <w:sz w:val="20"/>
          <w:szCs w:val="20"/>
        </w:rPr>
      </w:pPr>
      <w:r>
        <w:rPr>
          <w:rFonts w:eastAsia="Arial" w:cs="Arial" w:ascii="Arial" w:hAnsi="Arial"/>
          <w:b/>
          <w:bCs/>
          <w:color w:val="auto"/>
          <w:spacing w:val="0"/>
          <w:w w:val="100"/>
          <w:sz w:val="20"/>
          <w:szCs w:val="20"/>
          <w:lang w:val="ro-RO"/>
        </w:rPr>
        <w:t>Riscuri care pot genera accidente de muncă și boli profesionale: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Căderi de la înălțime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Lovituri, tăieturi, impact, strivire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Înțepături, tăieturi, zgârieturi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Vibrații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Alunecare, cădere la același nivel</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Caldura, foc</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Frig</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Pulberi, fibre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Fum</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Intemperii:</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Ceata</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Ploaie</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Vint</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Zapada</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Gheata (polei)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Împroșcare, stropire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Ciuperci generatoare de micoze</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Antigeni biologici nemicrobieni</w:t>
      </w:r>
    </w:p>
    <w:p>
      <w:pPr>
        <w:pStyle w:val="Normal"/>
        <w:widowControl/>
        <w:tabs>
          <w:tab w:val="clear" w:pos="720"/>
          <w:tab w:val="left" w:pos="1845"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2</w:t>
      </w:r>
    </w:p>
    <w:p>
      <w:pPr>
        <w:pStyle w:val="Normal"/>
        <w:widowControl/>
        <w:spacing w:before="0" w:after="60"/>
        <w:ind w:hanging="0"/>
        <w:jc w:val="left"/>
        <w:rPr>
          <w:rFonts w:ascii="Arial Black" w:hAnsi="Arial Black" w:cs="Arial"/>
          <w:b/>
          <w:bCs/>
          <w:sz w:val="20"/>
          <w:szCs w:val="20"/>
        </w:rPr>
      </w:pPr>
      <w:r>
        <w:rPr>
          <w:rFonts w:eastAsia="Arial" w:cs="Arial" w:ascii="Arial" w:hAnsi="Arial"/>
          <w:b/>
          <w:bCs/>
          <w:color w:val="auto"/>
          <w:spacing w:val="0"/>
          <w:w w:val="100"/>
          <w:sz w:val="20"/>
          <w:szCs w:val="20"/>
          <w:lang w:val="ro-RO"/>
        </w:rPr>
        <w:t>Lista orientativă și neexhaustivă a E.I.P.</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de protecție pentru utilizare în industrie (mine, șantiere de lucrări publice, alte ramuri industriale);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ușor pentru protecția scalpului (caschete, bonete, plase de par, cu sau fără cozoroc);</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pentru cap (bonete, caschete, pălării etc. din material textil, material textil tratat etc.).</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împotriva zgomotului:</w:t>
      </w:r>
    </w:p>
    <w:p>
      <w:pPr>
        <w:pStyle w:val="Normal"/>
        <w:widowControl/>
        <w:numPr>
          <w:ilvl w:val="0"/>
          <w:numId w:val="3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interne și alte dispozitive similare;</w:t>
      </w:r>
    </w:p>
    <w:p>
      <w:pPr>
        <w:pStyle w:val="Normal"/>
        <w:widowControl/>
        <w:numPr>
          <w:ilvl w:val="0"/>
          <w:numId w:val="3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antifonice (care acoperă tot capul);</w:t>
      </w:r>
    </w:p>
    <w:p>
      <w:pPr>
        <w:pStyle w:val="Normal"/>
        <w:widowControl/>
        <w:numPr>
          <w:ilvl w:val="0"/>
          <w:numId w:val="3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care pot fi montate pe căști de protecție industriale;</w:t>
      </w:r>
    </w:p>
    <w:p>
      <w:pPr>
        <w:pStyle w:val="Normal"/>
        <w:widowControl/>
        <w:numPr>
          <w:ilvl w:val="0"/>
          <w:numId w:val="3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cu receptor de joasă frecvența incorporat;</w:t>
      </w:r>
    </w:p>
    <w:p>
      <w:pPr>
        <w:pStyle w:val="Normal"/>
        <w:widowControl/>
        <w:numPr>
          <w:ilvl w:val="0"/>
          <w:numId w:val="3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cu comunicare audio.</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și a feței:</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 cu brațe;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ochelari-masca;</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ochelari-masca împotriva radiațiilor X, ochelari-masca împotriva radiațiilor laser, ochelari-masca împotriva radiațiilor ultraviolete, infraroșii, vizibile;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ecrane faciale (viziere);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măști și căști pentru sudura cu arc (măști de mana, măști cu fixare pe cap sau măști care pot fi montate pe căști de protecție).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filtrante împotriva pulberilor, gazelor și pulberilor radioactive;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izolante cu aducție de aer;</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cu masca de sudura detașabilă;</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mâinii și bratului: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care asigură protecție: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agresiunilor mecanice (înțepături, tăieturi, vibrații etc.);</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substanțelor chimice;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pentru electricieni și împotriva căldurii;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cu un deget;</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degetare;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mânecuțe;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manseta de protecție a încheieturii mâinii pentru munci grele;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mitene (mănuși fără degete);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de protecție.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 și a gambelor: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pantofi, bocanci, cizme semiînalte și cizme de securitate;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la care se pot scoate rapid șireturile sau cârligele;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cu bombeu suplimentar de protecție;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și supraîncălțări cu tălpi rezistente de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termoizolante;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împotriva vibrațiilor;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antistatice;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electroizolante;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cizme pentru lucrătorii cu ferăstraie cu lanț;</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saboți;</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genunchiere;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glezniere detașabile;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ghetre;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tălpi detașabile (rezistente la căldură, perforare sau transpirație);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crampoane detașabile pentru gheața, zăpada sau podele alunecoase.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0"/>
          <w:numId w:val="2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creme de protecție/unguente.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trunchiului și a abdomenului:</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agresiunilor mecanice (înțepare, tăiere, stropi de metal topit etc.);</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substanțelor chimice;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cu sistem de încălzire;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de salvare;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șorturi de protecție împotriva radiațiilor X;</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centuri lomboabdominale.</w:t>
      </w:r>
    </w:p>
    <w:p>
      <w:pPr>
        <w:pStyle w:val="Normal"/>
        <w:widowControl/>
        <w:numPr>
          <w:ilvl w:val="0"/>
          <w:numId w:val="2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Protecția întregului corp</w:t>
      </w:r>
    </w:p>
    <w:p>
      <w:pPr>
        <w:pStyle w:val="Normal"/>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Echipament proiectat pentru a preveni căderile: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prevenire a căderilor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frânare cu absorbire a energiei cinetice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dispozitive de susținere a corpului (centuri de securitate).</w:t>
      </w:r>
    </w:p>
    <w:p>
      <w:pPr>
        <w:pStyle w:val="Normal"/>
        <w:widowControl/>
        <w:numPr>
          <w:ilvl w:val="0"/>
          <w:numId w:val="15"/>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Îmbrăcăminte de protecție: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pentru lucru "de securitate" (două piese și combinezoane);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agresiunilor mecanice (înțepare, tăiere etc.);</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substanțelor chimice;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proiecțiilor de metal topit și a radiațiilor infraroșii;</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rezistența la căldură;</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termoizolantă;</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contaminării radioactive;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pulberilor;</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gazelor;</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și accesorii (banderole, mănuși etc.) de semnalizare fluorescente, reflectorizante;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paturi de protecție.</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3</w:t>
      </w:r>
    </w:p>
    <w:p>
      <w:pPr>
        <w:pStyle w:val="Normal"/>
        <w:widowControl/>
        <w:spacing w:before="0" w:after="60"/>
        <w:ind w:hanging="0"/>
        <w:jc w:val="left"/>
        <w:rPr>
          <w:rFonts w:ascii="Arial Black" w:hAnsi="Arial Black" w:cs="Arial"/>
          <w:b/>
          <w:bCs/>
          <w:sz w:val="20"/>
          <w:szCs w:val="20"/>
        </w:rPr>
      </w:pPr>
      <w:r>
        <w:rPr>
          <w:rFonts w:eastAsia="Arial" w:cs="Arial" w:ascii="Arial" w:hAnsi="Arial"/>
          <w:b/>
          <w:bCs/>
          <w:color w:val="auto"/>
          <w:spacing w:val="0"/>
          <w:w w:val="100"/>
          <w:sz w:val="20"/>
          <w:szCs w:val="20"/>
          <w:lang w:val="ro-RO"/>
        </w:rPr>
        <w:t>Lista orientativă și neexhaustivă a activităților și sectoarelor de activitate care pot necesita utilizarea de echipament individual de protecție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 (protecția craniului)</w:t>
      </w:r>
    </w:p>
    <w:p>
      <w:pPr>
        <w:pStyle w:val="Normal"/>
        <w:widowControl/>
        <w:numPr>
          <w:ilvl w:val="0"/>
          <w:numId w:val="23"/>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Căști de protecție:</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special activitate pe, sub sau în apropierea schelelor și locurilor de muncă la înălțime, la operații de montare și demontare a cofrajelor, de asamblare și instalare, activitate desfășurată pe schele și de demolări;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poduri metalice, construcții metalice înalte, stâlpi, turnuri, structuri hidraulice de metal, furnale, oțelării și laminoare, containere mari, conducte mari, cazane și centrale electrice;</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fose, șanțuri, puțuri și galerii;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terasamente și lucrări în piatră;</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vecinătatea lifturilor, dispozitivelor de ridicare, macaralelor și a transportoarelor;</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cuptoare industriale, containere, mașini, silozuri, buncăre și conducte;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w:t>
      </w:r>
    </w:p>
    <w:p>
      <w:pPr>
        <w:pStyle w:val="Normal"/>
        <w:widowControl/>
        <w:numPr>
          <w:ilvl w:val="0"/>
          <w:numId w:val="12"/>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talpa antiperforatie: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civile și rutiere;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demolare;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beton și plăci prefabricate, care presupun montarea și demontarea cofrajelor;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șantiere și în spații de depozitare;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widowControl/>
        <w:numPr>
          <w:ilvl w:val="0"/>
          <w:numId w:val="13"/>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fără talpa antiperforatie: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construcția de cuptoare, instalații de încălzire și ventilare și lucrări de asamblare de metale;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transformare și întreținere;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cariere și în exploatări de suprafață și halde;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extracția și prelucrarea pietrei;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manipulare a formelor în industria ceramicii;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turnare în industria produselor ceramice și a materialelor de construcții;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transport și depozitare;</w:t>
      </w:r>
    </w:p>
    <w:p>
      <w:pPr>
        <w:pStyle w:val="Normal"/>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toc sau talpa ortopedica și inserție antiperforatie: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tălpi termoizolante: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pe materiale foarte fierbinți sau foarte reci.</w:t>
      </w:r>
    </w:p>
    <w:p>
      <w:pPr>
        <w:pStyle w:val="Normal"/>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care se poate dezechipa ușor: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acolo unde există riscul penetrării de substanțe incandescente.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sau a feței</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Ochelari de protecție, viziere și ecrane faciale: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 polizare și debitare;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găurire și gravare;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tăiere și prelucrare a pietrei;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mașini a căror funcționare se bazează pe îndepărtarea spanului în cazul prelucrării de materiale care produc span;</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pulverizarea de substanțe abrazive;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soluții acide și alcaline, dezinfectanți și produse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dispozitive cu jet lichid;</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în apropierea materialelor incandescente;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căldura radianta;</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laser.</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Semimăști/Aparate de protecție respiratorie: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containere, spații înguste și cuptoare industriale alimentate cu gaz, în cazul în care poate există riscul intoxicării cu gaz sau cantitatea de oxigen este insuficienta;</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vopsirea prin pulverizare fără ventilație corespunzătoare;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canale și alte spații subterane ale sistemului de canalizare;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auzului</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Antifoane: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prese de metale;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dispozitive pneumatice;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industria lemnului și textilă.</w:t>
      </w:r>
    </w:p>
    <w:p>
      <w:pPr>
        <w:pStyle w:val="Normal"/>
        <w:widowControl/>
        <w:numPr>
          <w:ilvl w:val="0"/>
          <w:numId w:val="16"/>
        </w:numPr>
        <w:spacing w:before="0" w:after="120"/>
        <w:jc w:val="left"/>
        <w:rPr>
          <w:rFonts w:ascii="Arial" w:hAnsi="Arial" w:cs="Arial"/>
          <w:sz w:val="20"/>
          <w:szCs w:val="20"/>
        </w:rPr>
      </w:pPr>
      <w:r>
        <w:rPr>
          <w:rFonts w:eastAsia="Arial" w:cs="Arial" w:ascii="Arial" w:hAnsi="Arial"/>
          <w:b/>
          <w:bCs/>
          <w:color w:val="auto"/>
          <w:spacing w:val="0"/>
          <w:w w:val="100"/>
          <w:sz w:val="20"/>
          <w:szCs w:val="20"/>
          <w:lang w:val="ro-RO"/>
        </w:rPr>
        <w:t>Protecția corpului, bratelor și mâinilor</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acizi și soluții caustice, dezinfectanți și substanțe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sau în apropierea materialelor fierbinți și acolo unde se simt efectele căldurii;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sablare;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greu inflamabilă: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sudura în spații înguste.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rezistente la perforație: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cuțite de mana care implică îndreptarea cuțitului spre corp.</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din piele: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manipularea de obiecte cu muchii ascuțite, dar nu la utilizarea mașinilor care prezintă riscul ca manusa să fie prinsă;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neprotejate cu acizi și soluții caustice.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 din impletitura metalică: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schimbarea cuțitelor la mașinile de tăiat.</w:t>
      </w:r>
    </w:p>
    <w:p>
      <w:pPr>
        <w:pStyle w:val="Normal"/>
        <w:widowControl/>
        <w:numPr>
          <w:ilvl w:val="0"/>
          <w:numId w:val="0"/>
        </w:numPr>
        <w:tabs>
          <w:tab w:val="clear" w:pos="720"/>
          <w:tab w:val="left" w:pos="450" w:leader="none"/>
        </w:tabs>
        <w:spacing w:before="0" w:after="120"/>
        <w:ind w:hanging="0" w:lef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împotriva intemperiilor:</w:t>
      </w:r>
    </w:p>
    <w:p>
      <w:pPr>
        <w:pStyle w:val="Normal"/>
        <w:widowControl/>
        <w:numPr>
          <w:ilvl w:val="2"/>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aer liber pe ploaie și vreme rece.</w:t>
      </w:r>
    </w:p>
    <w:p>
      <w:pPr>
        <w:pStyle w:val="Normal"/>
        <w:widowControl/>
        <w:numPr>
          <w:ilvl w:val="2"/>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de paza,</w:t>
      </w:r>
    </w:p>
    <w:p>
      <w:pPr>
        <w:pStyle w:val="Normal"/>
        <w:widowControl/>
        <w:numPr>
          <w:ilvl w:val="2"/>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în silvicultura</w:t>
      </w:r>
    </w:p>
    <w:p>
      <w:pPr>
        <w:pStyle w:val="Normal"/>
        <w:widowControl/>
        <w:numPr>
          <w:ilvl w:val="2"/>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de monitorizare a oleoductelor și gazoductelor</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reflectorizantă: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locuri în care lucrătorii trebuie să poată fi observați la timp.</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drumuri și șosele, poduri, cai ferate,</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Centuri de securitate:</w:t>
      </w:r>
    </w:p>
    <w:p>
      <w:pPr>
        <w:pStyle w:val="Normal"/>
        <w:widowControl/>
        <w:numPr>
          <w:ilvl w:val="0"/>
          <w:numId w:val="6"/>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lucru la înălțime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asamblarea de piese prefabricate;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stâlpi.</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Frânghii de securitate:</w:t>
      </w:r>
    </w:p>
    <w:p>
      <w:pPr>
        <w:pStyle w:val="Normal"/>
        <w:widowControl/>
        <w:numPr>
          <w:ilvl w:val="0"/>
          <w:numId w:val="27"/>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lucru la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macarale amplasate la mare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stivuitoare și elevatoare amplasate la mare înălțime în depozite;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și canalizări.</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keepNext w:val="true"/>
        <w:widowControl/>
        <w:numPr>
          <w:ilvl w:val="2"/>
          <w:numId w:val="19"/>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prelucrarea materialelor de acoperire;</w:t>
      </w:r>
    </w:p>
    <w:tbl>
      <w:tblPr>
        <w:tblW w:w="5000" w:type="pct"/>
        <w:jc w:val="left"/>
        <w:tblInd w:w="0" w:type="dxa"/>
        <w:tblLayout w:type="fixed"/>
        <w:tblCellMar>
          <w:top w:w="17" w:type="dxa"/>
          <w:left w:w="108" w:type="dxa"/>
          <w:bottom w:w="17" w:type="dxa"/>
          <w:right w:w="108" w:type="dxa"/>
        </w:tblCellMar>
      </w:tblPr>
      <w:tblGrid>
        <w:gridCol w:w="3735"/>
        <w:gridCol w:w="6535"/>
        <w:gridCol w:w="2290"/>
        <w:gridCol w:w="1727"/>
      </w:tblGrid>
      <w:tr>
        <w:trPr>
          <w:tblHeader w:val="true"/>
          <w:trHeight w:val="112" w:hRule="atLeast"/>
        </w:trPr>
        <w:tc>
          <w:tcPr>
            <w:tcW w:w="14287" w:type="dxa"/>
            <w:gridSpan w:val="4"/>
            <w:tcBorders>
              <w:top w:val="single" w:sz="4" w:space="0" w:color="000000"/>
              <w:left w:val="single" w:sz="4" w:space="0" w:color="000000"/>
              <w:bottom w:val="double" w:sz="4" w:space="0" w:color="000000"/>
              <w:right w:val="single" w:sz="4" w:space="0" w:color="000000"/>
            </w:tcBorders>
            <w:shd w:fill="CCFFFF" w:val="clear"/>
            <w:vAlign w:val="center"/>
          </w:tcPr>
          <w:p>
            <w:pPr>
              <w:pStyle w:val="Normal"/>
              <w:keepNext w:val="true"/>
              <w:widowControl/>
              <w:spacing w:before="0" w:after="0"/>
              <w:ind w:left="312" w:right="0"/>
              <w:jc w:val="center"/>
              <w:rPr>
                <w:rFonts w:ascii="Arial" w:hAnsi="Arial" w:cs="Arial"/>
                <w:sz w:val="20"/>
                <w:szCs w:val="20"/>
                <w:lang w:val="es-ES_tradnl"/>
              </w:rPr>
            </w:pPr>
            <w:r>
              <w:rPr>
                <w:rFonts w:eastAsia="Arial" w:cs="Arial" w:ascii="Arial" w:hAnsi="Arial"/>
                <w:b/>
                <w:color w:val="auto"/>
                <w:spacing w:val="0"/>
                <w:w w:val="100"/>
                <w:sz w:val="20"/>
                <w:szCs w:val="20"/>
                <w:lang w:val="ro-RO"/>
              </w:rPr>
              <w:t>LOC DE MUNCĂ:</w:t>
            </w:r>
            <w:r>
              <w:rPr>
                <w:rFonts w:eastAsia="Arial" w:cs="Arial" w:ascii="Arial" w:hAnsi="Arial"/>
                <w:color w:val="auto"/>
                <w:spacing w:val="0"/>
                <w:w w:val="100"/>
                <w:sz w:val="20"/>
                <w:szCs w:val="20"/>
                <w:lang w:val="ro-RO"/>
              </w:rPr>
              <w:t xml:space="preserve"> ATELIER, ȘANTIER TEMPORAR </w:t>
            </w:r>
            <w:r>
              <w:rPr>
                <w:rFonts w:eastAsia="Arial" w:cs="Arial" w:ascii="Arial" w:hAnsi="Arial"/>
                <w:b/>
                <w:color w:val="auto"/>
                <w:spacing w:val="0"/>
                <w:w w:val="100"/>
                <w:sz w:val="20"/>
                <w:szCs w:val="20"/>
                <w:lang w:val="ro-RO"/>
              </w:rPr>
              <w:t xml:space="preserve">/ MESERIA: </w:t>
            </w:r>
            <w:r>
              <w:rPr>
                <w:rFonts w:eastAsia="Arial" w:cs="Arial" w:ascii="Arial" w:hAnsi="Arial"/>
                <w:color w:val="auto"/>
                <w:spacing w:val="0"/>
                <w:w w:val="100"/>
                <w:sz w:val="20"/>
                <w:szCs w:val="20"/>
                <w:lang w:val="ro-RO"/>
              </w:rPr>
              <w:t>CONDUCĂTOR ANTREPRIZA CONSTRUCȚII MONTAJ, OPERATOR MONTAJ LINII AUTOMATE</w:t>
            </w:r>
          </w:p>
        </w:tc>
      </w:tr>
      <w:tr>
        <w:trPr>
          <w:trHeight w:val="96" w:hRule="atLeast"/>
        </w:trPr>
        <w:tc>
          <w:tcPr>
            <w:tcW w:w="3735" w:type="dxa"/>
            <w:tcBorders>
              <w:top w:val="double" w:sz="4" w:space="0" w:color="000000"/>
              <w:left w:val="single" w:sz="4" w:space="0" w:color="000000"/>
              <w:bottom w:val="single" w:sz="4" w:space="0" w:color="000000"/>
              <w:right w:val="single" w:sz="6" w:space="0" w:color="000000"/>
            </w:tcBorders>
            <w:shd w:fill="F3F3F3" w:val="clear"/>
            <w:vAlign w:val="center"/>
          </w:tcPr>
          <w:p>
            <w:pPr>
              <w:pStyle w:val="Normal"/>
              <w:keepNext w:val="true"/>
              <w:widowControl/>
              <w:spacing w:before="0" w:after="0"/>
              <w:jc w:val="center"/>
              <w:rPr>
                <w:rFonts w:ascii="Arial" w:hAnsi="Arial" w:cs="Arial"/>
                <w:b/>
                <w:sz w:val="22"/>
                <w:szCs w:val="22"/>
              </w:rPr>
            </w:pPr>
            <w:r>
              <w:rPr>
                <w:rFonts w:eastAsia="Arial" w:cs="Arial" w:ascii="Arial" w:hAnsi="Arial"/>
                <w:b/>
                <w:color w:val="auto"/>
                <w:spacing w:val="0"/>
                <w:w w:val="100"/>
                <w:sz w:val="20"/>
                <w:szCs w:val="20"/>
                <w:lang w:val="ro-RO"/>
              </w:rPr>
              <w:t>Risc</w:t>
            </w:r>
          </w:p>
        </w:tc>
        <w:tc>
          <w:tcPr>
            <w:tcW w:w="6535" w:type="dxa"/>
            <w:tcBorders>
              <w:top w:val="double" w:sz="4" w:space="0" w:color="000000"/>
              <w:left w:val="single" w:sz="6" w:space="0" w:color="000000"/>
              <w:bottom w:val="single" w:sz="4" w:space="0" w:color="000000"/>
              <w:right w:val="single" w:sz="6" w:space="0" w:color="000000"/>
            </w:tcBorders>
            <w:shd w:fill="F3F3F3" w:val="clear"/>
            <w:vAlign w:val="center"/>
          </w:tcPr>
          <w:p>
            <w:pPr>
              <w:pStyle w:val="Normal"/>
              <w:widowControl/>
              <w:spacing w:before="0" w:after="0"/>
              <w:jc w:val="center"/>
              <w:rPr>
                <w:rFonts w:ascii="Arial" w:hAnsi="Arial" w:cs="Arial"/>
                <w:b/>
                <w:sz w:val="22"/>
                <w:szCs w:val="22"/>
                <w:lang w:val="es-ES"/>
              </w:rPr>
            </w:pPr>
            <w:r>
              <w:rPr>
                <w:rFonts w:eastAsia="Arial" w:cs="Arial" w:ascii="Arial" w:hAnsi="Arial"/>
                <w:b/>
                <w:color w:val="auto"/>
                <w:spacing w:val="0"/>
                <w:w w:val="100"/>
                <w:sz w:val="20"/>
                <w:szCs w:val="20"/>
                <w:lang w:val="ro-RO"/>
              </w:rPr>
              <w:t>Sortiment E.I.P. necesar de acordat</w:t>
            </w:r>
          </w:p>
        </w:tc>
        <w:tc>
          <w:tcPr>
            <w:tcW w:w="2290" w:type="dxa"/>
            <w:tcBorders>
              <w:top w:val="double" w:sz="4" w:space="0" w:color="000000"/>
              <w:left w:val="single" w:sz="6" w:space="0" w:color="000000"/>
              <w:bottom w:val="single" w:sz="4" w:space="0" w:color="000000"/>
              <w:right w:val="single" w:sz="6" w:space="0" w:color="000000"/>
            </w:tcBorders>
            <w:shd w:fill="F3F3F3" w:val="clear"/>
            <w:vAlign w:val="center"/>
          </w:tcPr>
          <w:p>
            <w:pPr>
              <w:pStyle w:val="Normal"/>
              <w:widowControl/>
              <w:spacing w:before="0" w:after="0"/>
              <w:jc w:val="center"/>
              <w:rPr>
                <w:rFonts w:ascii="Arial" w:hAnsi="Arial" w:cs="Arial"/>
                <w:b/>
                <w:sz w:val="22"/>
                <w:szCs w:val="22"/>
              </w:rPr>
            </w:pPr>
            <w:r>
              <w:rPr>
                <w:rFonts w:eastAsia="Arial" w:cs="Arial" w:ascii="Arial" w:hAnsi="Arial"/>
                <w:b/>
                <w:color w:val="auto"/>
                <w:spacing w:val="0"/>
                <w:w w:val="100"/>
                <w:sz w:val="20"/>
                <w:szCs w:val="20"/>
                <w:lang w:val="ro-RO"/>
              </w:rPr>
              <w:t>Durata de utilizare</w:t>
            </w:r>
          </w:p>
        </w:tc>
        <w:tc>
          <w:tcPr>
            <w:tcW w:w="1727" w:type="dxa"/>
            <w:tcBorders>
              <w:top w:val="double" w:sz="4" w:space="0" w:color="000000"/>
              <w:left w:val="single" w:sz="6"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2"/>
                <w:szCs w:val="22"/>
              </w:rPr>
            </w:pPr>
            <w:r>
              <w:rPr>
                <w:rFonts w:eastAsia="Arial" w:cs="Arial" w:ascii="Arial" w:hAnsi="Arial"/>
                <w:b/>
                <w:color w:val="auto"/>
                <w:spacing w:val="0"/>
                <w:w w:val="100"/>
                <w:sz w:val="20"/>
                <w:szCs w:val="20"/>
                <w:lang w:val="ro-RO"/>
              </w:rPr>
              <w:t>Mod acordare</w:t>
            </w:r>
          </w:p>
        </w:tc>
      </w:tr>
      <w:tr>
        <w:trPr>
          <w:trHeight w:val="155" w:hRule="atLeast"/>
        </w:trPr>
        <w:tc>
          <w:tcPr>
            <w:tcW w:w="3735" w:type="dxa"/>
            <w:tcBorders>
              <w:top w:val="single" w:sz="4" w:space="0" w:color="000000"/>
              <w:left w:val="single" w:sz="4" w:space="0" w:color="000000"/>
              <w:bottom w:val="single" w:sz="4" w:space="0" w:color="000000"/>
              <w:right w:val="single" w:sz="6" w:space="0" w:color="000000"/>
            </w:tcBorders>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6535" w:type="dxa"/>
            <w:tcBorders>
              <w:top w:val="single" w:sz="4" w:space="0" w:color="000000"/>
              <w:left w:val="single" w:sz="6" w:space="0" w:color="000000"/>
              <w:bottom w:val="single" w:sz="4" w:space="0" w:color="000000"/>
              <w:right w:val="single" w:sz="6" w:space="0" w:color="000000"/>
            </w:tcBorders>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2290" w:type="dxa"/>
            <w:tcBorders>
              <w:top w:val="single" w:sz="4" w:space="0" w:color="000000"/>
              <w:left w:val="single" w:sz="6" w:space="0" w:color="000000"/>
              <w:bottom w:val="single" w:sz="4" w:space="0" w:color="000000"/>
              <w:right w:val="single" w:sz="6" w:space="0" w:color="000000"/>
            </w:tcBorders>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727" w:type="dxa"/>
            <w:tcBorders>
              <w:top w:val="single" w:sz="4" w:space="0" w:color="000000"/>
              <w:left w:val="single" w:sz="6" w:space="0" w:color="000000"/>
              <w:bottom w:val="single" w:sz="4" w:space="0" w:color="000000"/>
              <w:right w:val="single" w:sz="4" w:space="0" w:color="000000"/>
            </w:tcBorders>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r>
      <w:tr>
        <w:trPr>
          <w:trHeight w:val="65" w:hRule="atLeast"/>
        </w:trPr>
        <w:tc>
          <w:tcPr>
            <w:tcW w:w="3735" w:type="dxa"/>
            <w:tcBorders>
              <w:top w:val="single" w:sz="4" w:space="0" w:color="000000"/>
              <w:left w:val="single" w:sz="4" w:space="0" w:color="000000"/>
              <w:bottom w:val="single" w:sz="4" w:space="0" w:color="000000"/>
              <w:right w:val="single" w:sz="6" w:space="0" w:color="000000"/>
            </w:tcBorders>
          </w:tcPr>
          <w:p>
            <w:pPr>
              <w:pStyle w:val="Normal"/>
              <w:keepNext w:val="true"/>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Pulberi, fibre, Împroșcare, stropire (Fata, Ochi)</w:t>
            </w:r>
          </w:p>
        </w:tc>
        <w:tc>
          <w:tcPr>
            <w:tcW w:w="653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Ochelari de protecție</w:t>
            </w:r>
          </w:p>
        </w:tc>
        <w:tc>
          <w:tcPr>
            <w:tcW w:w="2290"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luni</w:t>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Inventar</w:t>
            </w:r>
          </w:p>
        </w:tc>
      </w:tr>
      <w:tr>
        <w:trPr>
          <w:trHeight w:val="65" w:hRule="atLeast"/>
        </w:trPr>
        <w:tc>
          <w:tcPr>
            <w:tcW w:w="3735" w:type="dxa"/>
            <w:tcBorders>
              <w:top w:val="single" w:sz="4" w:space="0" w:color="000000"/>
              <w:left w:val="single" w:sz="4" w:space="0" w:color="000000"/>
              <w:bottom w:val="single" w:sz="4" w:space="0" w:color="000000"/>
              <w:right w:val="single" w:sz="6" w:space="0" w:color="000000"/>
            </w:tcBorders>
          </w:tcPr>
          <w:p>
            <w:pPr>
              <w:pStyle w:val="Normal"/>
              <w:keepNext w:val="true"/>
              <w:widowControl/>
              <w:spacing w:before="0" w:after="0"/>
              <w:jc w:val="left"/>
              <w:rPr>
                <w:rFonts w:ascii="Arial" w:hAnsi="Arial" w:cs="Arial"/>
                <w:color w:val="000000"/>
                <w:sz w:val="18"/>
                <w:szCs w:val="18"/>
                <w:lang w:val="it-IT"/>
              </w:rPr>
            </w:pPr>
            <w:r>
              <w:rPr>
                <w:rFonts w:eastAsia="Arial" w:cs="Arial" w:ascii="Arial" w:hAnsi="Arial"/>
                <w:color w:val="auto"/>
                <w:spacing w:val="0"/>
                <w:w w:val="100"/>
                <w:sz w:val="20"/>
                <w:szCs w:val="20"/>
                <w:lang w:val="ro-RO"/>
              </w:rPr>
              <w:t>Pulberi, fibre, Împroșcare, stropire (Fata, Ochi)</w:t>
            </w:r>
          </w:p>
        </w:tc>
        <w:tc>
          <w:tcPr>
            <w:tcW w:w="653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Masca sudura</w:t>
            </w:r>
          </w:p>
        </w:tc>
        <w:tc>
          <w:tcPr>
            <w:tcW w:w="2290"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24 luni</w:t>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Inventar</w:t>
            </w:r>
          </w:p>
        </w:tc>
      </w:tr>
      <w:tr>
        <w:trPr>
          <w:trHeight w:val="111" w:hRule="atLeast"/>
        </w:trPr>
        <w:tc>
          <w:tcPr>
            <w:tcW w:w="3735" w:type="dxa"/>
            <w:tcBorders>
              <w:top w:val="single" w:sz="4" w:space="0" w:color="000000"/>
              <w:left w:val="single" w:sz="4" w:space="0" w:color="000000"/>
              <w:bottom w:val="single" w:sz="4" w:space="0" w:color="000000"/>
              <w:right w:val="single" w:sz="6" w:space="0" w:color="000000"/>
            </w:tcBorders>
          </w:tcPr>
          <w:p>
            <w:pPr>
              <w:pStyle w:val="Normal"/>
              <w:keepNext w:val="true"/>
              <w:widowControl/>
              <w:spacing w:before="0" w:after="0"/>
              <w:jc w:val="left"/>
              <w:rPr>
                <w:rFonts w:ascii="Arial" w:hAnsi="Arial" w:cs="Arial"/>
                <w:sz w:val="18"/>
                <w:szCs w:val="18"/>
                <w:lang w:val="it-IT"/>
              </w:rPr>
            </w:pPr>
            <w:r>
              <w:rPr>
                <w:rFonts w:eastAsia="Arial" w:cs="Arial" w:ascii="Arial" w:hAnsi="Arial"/>
                <w:color w:val="auto"/>
                <w:spacing w:val="0"/>
                <w:w w:val="100"/>
                <w:sz w:val="20"/>
                <w:szCs w:val="20"/>
                <w:lang w:val="ro-RO"/>
              </w:rPr>
              <w:t>Înțepături, Tăieturi, Zgârieturi (mâini, brațe)</w:t>
            </w:r>
          </w:p>
        </w:tc>
        <w:tc>
          <w:tcPr>
            <w:tcW w:w="653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Mănuși împotriva agresiunilor mecanice,</w:t>
            </w:r>
          </w:p>
        </w:tc>
        <w:tc>
          <w:tcPr>
            <w:tcW w:w="229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6 luni</w:t>
            </w:r>
          </w:p>
        </w:tc>
        <w:tc>
          <w:tcPr>
            <w:tcW w:w="1727"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Inventar</w:t>
            </w:r>
          </w:p>
        </w:tc>
      </w:tr>
      <w:tr>
        <w:trPr>
          <w:trHeight w:val="70" w:hRule="atLeast"/>
        </w:trPr>
        <w:tc>
          <w:tcPr>
            <w:tcW w:w="3735" w:type="dxa"/>
            <w:tcBorders>
              <w:top w:val="single" w:sz="4" w:space="0" w:color="000000"/>
              <w:left w:val="single" w:sz="4" w:space="0" w:color="000000"/>
              <w:bottom w:val="single" w:sz="4" w:space="0" w:color="000000"/>
              <w:right w:val="single" w:sz="6" w:space="0" w:color="000000"/>
            </w:tcBorders>
          </w:tcPr>
          <w:p>
            <w:pPr>
              <w:pStyle w:val="Normal"/>
              <w:keepNext w:val="true"/>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Înțepături, Tăieturi, Zgârieturi (corp)</w:t>
            </w:r>
          </w:p>
        </w:tc>
        <w:tc>
          <w:tcPr>
            <w:tcW w:w="6535" w:type="dxa"/>
            <w:tcBorders>
              <w:top w:val="single" w:sz="4" w:space="0" w:color="000000"/>
              <w:left w:val="single" w:sz="6" w:space="0" w:color="000000"/>
              <w:bottom w:val="single" w:sz="4" w:space="0" w:color="000000"/>
              <w:right w:val="single" w:sz="6" w:space="0" w:color="000000"/>
            </w:tcBorders>
            <w:vAlign w:val="center"/>
          </w:tcPr>
          <w:p>
            <w:pPr>
              <w:pStyle w:val="BodyText3"/>
              <w:widowControl/>
              <w:spacing w:before="0" w:after="0"/>
              <w:rPr>
                <w:rFonts w:ascii="Arial" w:hAnsi="Arial" w:cs="Arial"/>
                <w:b w:val="false"/>
                <w:bCs w:val="false"/>
                <w:sz w:val="18"/>
                <w:szCs w:val="18"/>
                <w:lang w:val="es-ES"/>
              </w:rPr>
            </w:pPr>
            <w:r>
              <w:rPr>
                <w:rFonts w:eastAsia="Arial" w:cs="Arial" w:ascii="Arial" w:hAnsi="Arial"/>
                <w:b w:val="false"/>
                <w:color w:val="auto"/>
                <w:spacing w:val="0"/>
                <w:w w:val="100"/>
                <w:sz w:val="20"/>
                <w:szCs w:val="20"/>
                <w:lang w:val="ro-RO"/>
              </w:rPr>
              <w:t>Salopeta de lucru (pantalon cu pieptar și haina)</w:t>
            </w:r>
          </w:p>
        </w:tc>
        <w:tc>
          <w:tcPr>
            <w:tcW w:w="2290"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luni</w:t>
            </w:r>
          </w:p>
        </w:tc>
        <w:tc>
          <w:tcPr>
            <w:tcW w:w="1727" w:type="dxa"/>
            <w:tcBorders>
              <w:top w:val="single" w:sz="4" w:space="0" w:color="000000"/>
              <w:left w:val="single" w:sz="4"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Inventar</w:t>
            </w:r>
          </w:p>
        </w:tc>
      </w:tr>
      <w:tr>
        <w:trPr>
          <w:trHeight w:val="70" w:hRule="atLeast"/>
        </w:trPr>
        <w:tc>
          <w:tcPr>
            <w:tcW w:w="3735" w:type="dxa"/>
            <w:tcBorders>
              <w:top w:val="single" w:sz="4" w:space="0" w:color="000000"/>
              <w:left w:val="single" w:sz="4" w:space="0" w:color="000000"/>
              <w:bottom w:val="single" w:sz="4" w:space="0" w:color="000000"/>
              <w:right w:val="single" w:sz="6" w:space="0" w:color="000000"/>
            </w:tcBorders>
          </w:tcPr>
          <w:p>
            <w:pPr>
              <w:pStyle w:val="Normal"/>
              <w:keepNext w:val="true"/>
              <w:widowControl/>
              <w:spacing w:before="0" w:after="0"/>
              <w:rPr>
                <w:rFonts w:ascii="Arial" w:hAnsi="Arial" w:cs="Arial"/>
                <w:sz w:val="18"/>
                <w:szCs w:val="18"/>
              </w:rPr>
            </w:pPr>
            <w:r>
              <w:rPr>
                <w:rFonts w:eastAsia="Arial" w:cs="Arial" w:ascii="Arial" w:hAnsi="Arial"/>
                <w:color w:val="auto"/>
                <w:spacing w:val="0"/>
                <w:w w:val="100"/>
                <w:sz w:val="20"/>
                <w:szCs w:val="20"/>
                <w:lang w:val="ro-RO"/>
              </w:rPr>
              <w:t>Șoc, lovire</w:t>
            </w:r>
          </w:p>
        </w:tc>
        <w:tc>
          <w:tcPr>
            <w:tcW w:w="653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lang w:val="nl-NL"/>
              </w:rPr>
            </w:pPr>
            <w:r>
              <w:rPr>
                <w:rFonts w:eastAsia="Arial" w:cs="Arial" w:ascii="Arial" w:hAnsi="Arial"/>
                <w:color w:val="auto"/>
                <w:spacing w:val="0"/>
                <w:w w:val="100"/>
                <w:sz w:val="20"/>
                <w:szCs w:val="20"/>
                <w:lang w:val="ro-RO"/>
              </w:rPr>
              <w:t>Vesta reflectorizantă</w:t>
            </w:r>
          </w:p>
        </w:tc>
        <w:tc>
          <w:tcPr>
            <w:tcW w:w="2290"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luni</w:t>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Inventar</w:t>
            </w:r>
          </w:p>
        </w:tc>
      </w:tr>
      <w:tr>
        <w:trPr>
          <w:trHeight w:val="70" w:hRule="atLeast"/>
        </w:trPr>
        <w:tc>
          <w:tcPr>
            <w:tcW w:w="3735" w:type="dxa"/>
            <w:tcBorders>
              <w:top w:val="single" w:sz="4" w:space="0" w:color="000000"/>
              <w:left w:val="single" w:sz="4" w:space="0" w:color="000000"/>
              <w:bottom w:val="single" w:sz="4" w:space="0" w:color="000000"/>
              <w:right w:val="single" w:sz="6" w:space="0" w:color="000000"/>
            </w:tcBorders>
          </w:tcPr>
          <w:p>
            <w:pPr>
              <w:pStyle w:val="Normal"/>
              <w:keepNext w:val="true"/>
              <w:widowControl/>
              <w:spacing w:before="0" w:after="0"/>
              <w:rPr>
                <w:rFonts w:ascii="Arial" w:hAnsi="Arial" w:cs="Arial"/>
                <w:sz w:val="18"/>
                <w:szCs w:val="18"/>
              </w:rPr>
            </w:pPr>
            <w:r>
              <w:rPr>
                <w:rFonts w:eastAsia="Arial" w:cs="Arial" w:ascii="Arial" w:hAnsi="Arial"/>
                <w:color w:val="auto"/>
                <w:spacing w:val="0"/>
                <w:w w:val="100"/>
                <w:sz w:val="20"/>
                <w:szCs w:val="20"/>
                <w:lang w:val="ro-RO"/>
              </w:rPr>
              <w:t>Lovituri, strivire</w:t>
            </w:r>
          </w:p>
        </w:tc>
        <w:tc>
          <w:tcPr>
            <w:tcW w:w="653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lang w:val="nl-NL"/>
              </w:rPr>
            </w:pPr>
            <w:r>
              <w:rPr>
                <w:rFonts w:eastAsia="Arial" w:cs="Arial" w:ascii="Arial" w:hAnsi="Arial"/>
                <w:color w:val="auto"/>
                <w:spacing w:val="0"/>
                <w:w w:val="100"/>
                <w:sz w:val="20"/>
                <w:szCs w:val="20"/>
                <w:lang w:val="ro-RO"/>
              </w:rPr>
              <w:t>Bocanci cu bombeu</w:t>
            </w:r>
          </w:p>
        </w:tc>
        <w:tc>
          <w:tcPr>
            <w:tcW w:w="2290"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luni</w:t>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Inventar</w:t>
            </w:r>
          </w:p>
        </w:tc>
      </w:tr>
      <w:tr>
        <w:trPr>
          <w:trHeight w:val="70" w:hRule="atLeast"/>
        </w:trPr>
        <w:tc>
          <w:tcPr>
            <w:tcW w:w="3735" w:type="dxa"/>
            <w:tcBorders>
              <w:top w:val="single" w:sz="4" w:space="0" w:color="000000"/>
              <w:left w:val="single" w:sz="4" w:space="0" w:color="000000"/>
              <w:bottom w:val="single" w:sz="4" w:space="0" w:color="000000"/>
              <w:right w:val="single" w:sz="6" w:space="0" w:color="000000"/>
            </w:tcBorders>
          </w:tcPr>
          <w:p>
            <w:pPr>
              <w:pStyle w:val="Normal"/>
              <w:keepNext w:val="true"/>
              <w:widowControl/>
              <w:spacing w:before="0" w:after="0"/>
              <w:rPr>
                <w:rFonts w:ascii="Arial" w:hAnsi="Arial" w:cs="Arial"/>
                <w:sz w:val="18"/>
                <w:szCs w:val="18"/>
              </w:rPr>
            </w:pPr>
            <w:r>
              <w:rPr>
                <w:rFonts w:eastAsia="Arial" w:cs="Arial" w:ascii="Arial" w:hAnsi="Arial"/>
                <w:color w:val="auto"/>
                <w:spacing w:val="0"/>
                <w:w w:val="100"/>
                <w:sz w:val="20"/>
                <w:szCs w:val="20"/>
                <w:lang w:val="ro-RO"/>
              </w:rPr>
              <w:t>Lovituri, Impact</w:t>
            </w:r>
            <w:r>
              <w:rPr>
                <w:rFonts w:eastAsia="Arial" w:cs="Arial" w:ascii="Arial" w:hAnsi="Arial"/>
                <w:color w:val="auto"/>
                <w:spacing w:val="0"/>
                <w:w w:val="100"/>
                <w:sz w:val="20"/>
                <w:szCs w:val="20"/>
                <w:lang w:val="ro-RO"/>
              </w:rPr>
              <w:t>, cădere de obiecte de la înălțime (craniu)</w:t>
            </w:r>
          </w:p>
        </w:tc>
        <w:tc>
          <w:tcPr>
            <w:tcW w:w="653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Cască protecție</w:t>
            </w:r>
          </w:p>
        </w:tc>
        <w:tc>
          <w:tcPr>
            <w:tcW w:w="2290"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24 luni</w:t>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Inventar</w:t>
            </w:r>
          </w:p>
        </w:tc>
      </w:tr>
      <w:tr>
        <w:trPr>
          <w:trHeight w:val="112" w:hRule="atLeast"/>
        </w:trPr>
        <w:tc>
          <w:tcPr>
            <w:tcW w:w="3735"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Observații:</w:t>
            </w:r>
          </w:p>
        </w:tc>
        <w:tc>
          <w:tcPr>
            <w:tcW w:w="10552"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b/>
                <w:bCs/>
                <w:sz w:val="18"/>
                <w:szCs w:val="18"/>
              </w:rPr>
            </w:pPr>
            <w:r>
              <w:rPr>
                <w:rFonts w:eastAsia="Arial" w:cs="Arial" w:ascii="Arial" w:hAnsi="Arial"/>
                <w:b/>
                <w:bCs/>
                <w:color w:val="auto"/>
                <w:spacing w:val="0"/>
                <w:w w:val="100"/>
                <w:sz w:val="20"/>
                <w:szCs w:val="20"/>
                <w:lang w:val="ro-RO"/>
              </w:rPr>
              <w:t>La predarea echipamentului individual de protecție se va completa procesul verbal de predare – primire</w:t>
            </w:r>
          </w:p>
        </w:tc>
      </w:tr>
    </w:tbl>
    <w:p>
      <w:pPr>
        <w:pStyle w:val="Normal"/>
        <w:keepNext w:val="true"/>
        <w:widowControl/>
        <w:spacing w:before="0" w:after="120"/>
        <w:ind w:hanging="0"/>
        <w:jc w:val="left"/>
        <w:rPr>
          <w:rStyle w:val="tpa1"/>
          <w:rFonts w:ascii="Arial" w:hAnsi="Arial" w:cs="Arial"/>
          <w:sz w:val="8"/>
          <w:szCs w:val="20"/>
          <w:lang w:val="es-ES"/>
        </w:rPr>
      </w:pPr>
      <w:r>
        <w:rPr>
          <w:rFonts w:eastAsia="Arial" w:cs="Arial" w:ascii="Arial" w:hAnsi="Arial"/>
          <w:color w:val="auto"/>
          <w:spacing w:val="0"/>
          <w:w w:val="100"/>
          <w:sz w:val="20"/>
          <w:szCs w:val="20"/>
          <w:lang w:val="ro-RO"/>
        </w:rPr>
      </w:r>
    </w:p>
    <w:tbl>
      <w:tblPr>
        <w:tblW w:w="5000" w:type="pct"/>
        <w:jc w:val="left"/>
        <w:tblInd w:w="15" w:type="dxa"/>
        <w:tblLayout w:type="fixed"/>
        <w:tblCellMar>
          <w:top w:w="17" w:type="dxa"/>
          <w:left w:w="45" w:type="dxa"/>
          <w:bottom w:w="17" w:type="dxa"/>
          <w:right w:w="45" w:type="dxa"/>
        </w:tblCellMar>
      </w:tblPr>
      <w:tblGrid>
        <w:gridCol w:w="286"/>
        <w:gridCol w:w="845"/>
        <w:gridCol w:w="815"/>
        <w:gridCol w:w="677"/>
        <w:gridCol w:w="566"/>
        <w:gridCol w:w="656"/>
        <w:gridCol w:w="483"/>
        <w:gridCol w:w="648"/>
        <w:gridCol w:w="552"/>
        <w:gridCol w:w="297"/>
        <w:gridCol w:w="812"/>
        <w:gridCol w:w="755"/>
        <w:gridCol w:w="615"/>
        <w:gridCol w:w="693"/>
        <w:gridCol w:w="512"/>
        <w:gridCol w:w="320"/>
        <w:gridCol w:w="386"/>
        <w:gridCol w:w="467"/>
        <w:gridCol w:w="745"/>
        <w:gridCol w:w="595"/>
        <w:gridCol w:w="579"/>
        <w:gridCol w:w="556"/>
        <w:gridCol w:w="724"/>
        <w:gridCol w:w="703"/>
      </w:tblGrid>
      <w:tr>
        <w:trPr>
          <w:tblHeader w:val="true"/>
          <w:trHeight w:val="58" w:hRule="atLeast"/>
        </w:trPr>
        <w:tc>
          <w:tcPr>
            <w:tcW w:w="1946" w:type="dxa"/>
            <w:gridSpan w:val="3"/>
            <w:vMerge w:val="restart"/>
            <w:tcBorders>
              <w:top w:val="thickThinLargeGap" w:sz="6" w:space="0" w:color="C0C0C0"/>
              <w:left w:val="thickThinLargeGap" w:sz="6" w:space="0" w:color="C0C0C0"/>
              <w:right w:val="thickThinLargeGap" w:sz="6" w:space="0" w:color="C0C0C0"/>
            </w:tcBorders>
          </w:tcPr>
          <w:p>
            <w:pPr>
              <w:pStyle w:val="Normal"/>
              <w:widowControl/>
              <w:spacing w:before="0" w:after="0"/>
              <w:rPr>
                <w:rFonts w:ascii="Arial" w:hAnsi="Arial" w:cs="Arial"/>
                <w:b/>
                <w:color w:val="000000"/>
                <w:sz w:val="20"/>
                <w:szCs w:val="20"/>
                <w:lang w:val="es-ES"/>
              </w:rPr>
            </w:pPr>
            <w:r>
              <w:rPr>
                <w:rFonts w:eastAsia="Arial" w:cs="Arial" w:ascii="Arial" w:hAnsi="Arial"/>
                <w:color w:val="auto"/>
                <w:spacing w:val="0"/>
                <w:w w:val="100"/>
                <w:sz w:val="16"/>
                <w:szCs w:val="16"/>
                <w:lang w:val="ro-RO"/>
              </w:rPr>
            </w:r>
          </w:p>
        </w:tc>
        <w:tc>
          <w:tcPr>
            <w:tcW w:w="12341" w:type="dxa"/>
            <w:gridSpan w:val="21"/>
            <w:tcBorders>
              <w:top w:val="thickThinLargeGap" w:sz="6" w:space="0" w:color="C0C0C0"/>
              <w:left w:val="thickThinLargeGap" w:sz="6" w:space="0" w:color="C0C0C0"/>
              <w:bottom w:val="thickThinLargeGap" w:sz="6" w:space="0" w:color="C0C0C0"/>
              <w:right w:val="thickThinLargeGap" w:sz="6" w:space="0" w:color="C0C0C0"/>
            </w:tcBorders>
            <w:shd w:fill="F3F3F3" w:val="clear"/>
          </w:tcPr>
          <w:p>
            <w:pPr>
              <w:pStyle w:val="Normal"/>
              <w:widowControl/>
              <w:spacing w:before="0" w:after="0"/>
              <w:jc w:val="center"/>
              <w:rPr>
                <w:rFonts w:ascii="Arial" w:hAnsi="Arial" w:cs="Arial"/>
                <w:b/>
                <w:color w:val="000000"/>
                <w:sz w:val="20"/>
                <w:szCs w:val="20"/>
              </w:rPr>
            </w:pPr>
            <w:r>
              <w:rPr>
                <w:rFonts w:eastAsia="Arial" w:cs="Arial" w:ascii="Arial" w:hAnsi="Arial"/>
                <w:b/>
                <w:color w:val="auto"/>
                <w:spacing w:val="0"/>
                <w:w w:val="100"/>
                <w:sz w:val="16"/>
                <w:szCs w:val="16"/>
                <w:lang w:val="ro-RO"/>
              </w:rPr>
              <w:t>RISCURI PERSONAL DE EXECUȚIE</w:t>
            </w:r>
          </w:p>
        </w:tc>
      </w:tr>
      <w:tr>
        <w:trPr>
          <w:trHeight w:val="82" w:hRule="atLeast"/>
        </w:trPr>
        <w:tc>
          <w:tcPr>
            <w:tcW w:w="1946" w:type="dxa"/>
            <w:gridSpan w:val="3"/>
            <w:vMerge w:val="continue"/>
            <w:tcBorders>
              <w:top w:val="thickThinLargeGap" w:sz="6" w:space="0" w:color="C0C0C0"/>
              <w:left w:val="thickThinLargeGap" w:sz="6" w:space="0" w:color="C0C0C0"/>
              <w:right w:val="thickThinLargeGap" w:sz="6" w:space="0" w:color="C0C0C0"/>
            </w:tcBorders>
            <w:tcMar>
              <w:top w:w="15" w:type="dxa"/>
              <w:left w:w="30" w:type="dxa"/>
              <w:bottom w:w="15" w:type="dxa"/>
              <w:right w:w="30" w:type="dxa"/>
            </w:tcMa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6754" w:type="dxa"/>
            <w:gridSpan w:val="11"/>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8"/>
                <w:szCs w:val="18"/>
              </w:rPr>
            </w:pPr>
            <w:r>
              <w:rPr>
                <w:rFonts w:eastAsia="Arial" w:cs="Arial" w:ascii="Arial" w:hAnsi="Arial"/>
                <w:b/>
                <w:color w:val="auto"/>
                <w:spacing w:val="0"/>
                <w:w w:val="100"/>
                <w:sz w:val="16"/>
                <w:szCs w:val="16"/>
                <w:lang w:val="ro-RO"/>
              </w:rPr>
              <w:t>FIZICE</w:t>
            </w:r>
          </w:p>
        </w:tc>
        <w:tc>
          <w:tcPr>
            <w:tcW w:w="3025" w:type="dxa"/>
            <w:gridSpan w:val="6"/>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8"/>
                <w:szCs w:val="18"/>
              </w:rPr>
            </w:pPr>
            <w:r>
              <w:rPr>
                <w:rFonts w:eastAsia="Arial" w:cs="Arial" w:ascii="Arial" w:hAnsi="Arial"/>
                <w:b/>
                <w:color w:val="auto"/>
                <w:spacing w:val="0"/>
                <w:w w:val="100"/>
                <w:sz w:val="16"/>
                <w:szCs w:val="16"/>
                <w:lang w:val="ro-RO"/>
              </w:rPr>
              <w:t>CHIMICE</w:t>
            </w:r>
          </w:p>
        </w:tc>
        <w:tc>
          <w:tcPr>
            <w:tcW w:w="2562" w:type="dxa"/>
            <w:gridSpan w:val="4"/>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8"/>
                <w:szCs w:val="18"/>
              </w:rPr>
            </w:pPr>
            <w:r>
              <w:rPr>
                <w:rFonts w:eastAsia="Arial" w:cs="Arial" w:ascii="Arial" w:hAnsi="Arial"/>
                <w:b/>
                <w:color w:val="auto"/>
                <w:spacing w:val="0"/>
                <w:w w:val="100"/>
                <w:sz w:val="16"/>
                <w:szCs w:val="16"/>
                <w:lang w:val="ro-RO"/>
              </w:rPr>
              <w:t>BIOLOGICE</w:t>
            </w:r>
          </w:p>
        </w:tc>
      </w:tr>
      <w:tr>
        <w:trPr>
          <w:trHeight w:val="82" w:hRule="atLeast"/>
        </w:trPr>
        <w:tc>
          <w:tcPr>
            <w:tcW w:w="1946" w:type="dxa"/>
            <w:gridSpan w:val="3"/>
            <w:vMerge w:val="continue"/>
            <w:tcBorders>
              <w:top w:val="thickThinLargeGap" w:sz="6" w:space="0" w:color="C0C0C0"/>
              <w:left w:val="thickThinLargeGap" w:sz="6" w:space="0" w:color="C0C0C0"/>
              <w:right w:val="thickThinLargeGap" w:sz="6" w:space="0" w:color="C0C0C0"/>
            </w:tcBorders>
            <w:tcMar>
              <w:top w:w="15" w:type="dxa"/>
              <w:left w:w="30" w:type="dxa"/>
              <w:bottom w:w="15" w:type="dxa"/>
              <w:right w:w="30" w:type="dxa"/>
            </w:tcMa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3030" w:type="dxa"/>
            <w:gridSpan w:val="5"/>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4"/>
                <w:szCs w:val="14"/>
              </w:rPr>
            </w:pPr>
            <w:r>
              <w:rPr>
                <w:rFonts w:eastAsia="Arial" w:cs="Arial" w:ascii="Arial" w:hAnsi="Arial"/>
                <w:b/>
                <w:color w:val="auto"/>
                <w:spacing w:val="0"/>
                <w:w w:val="100"/>
                <w:sz w:val="16"/>
                <w:szCs w:val="16"/>
                <w:lang w:val="ro-RO"/>
              </w:rPr>
              <w:t>MECANICE</w:t>
            </w:r>
          </w:p>
        </w:tc>
        <w:tc>
          <w:tcPr>
            <w:tcW w:w="849" w:type="dxa"/>
            <w:gridSpan w:val="2"/>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4"/>
                <w:szCs w:val="14"/>
              </w:rPr>
            </w:pPr>
            <w:r>
              <w:rPr>
                <w:rFonts w:eastAsia="Arial" w:cs="Arial" w:ascii="Arial" w:hAnsi="Arial"/>
                <w:b/>
                <w:color w:val="auto"/>
                <w:spacing w:val="0"/>
                <w:w w:val="100"/>
                <w:sz w:val="16"/>
                <w:szCs w:val="16"/>
                <w:lang w:val="ro-RO"/>
              </w:rPr>
              <w:t>TERMICE</w:t>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4"/>
                <w:szCs w:val="14"/>
              </w:rPr>
            </w:pPr>
            <w:r>
              <w:rPr>
                <w:rFonts w:eastAsia="Arial" w:cs="Arial" w:ascii="Arial" w:hAnsi="Arial"/>
                <w:b/>
                <w:color w:val="auto"/>
                <w:spacing w:val="0"/>
                <w:w w:val="100"/>
                <w:sz w:val="16"/>
                <w:szCs w:val="16"/>
                <w:lang w:val="ro-RO"/>
              </w:rPr>
              <w:t>ELECTRICE</w:t>
            </w:r>
          </w:p>
        </w:tc>
        <w:tc>
          <w:tcPr>
            <w:tcW w:w="1370" w:type="dxa"/>
            <w:gridSpan w:val="2"/>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4"/>
                <w:szCs w:val="14"/>
              </w:rPr>
            </w:pPr>
            <w:r>
              <w:rPr>
                <w:rFonts w:eastAsia="Arial" w:cs="Arial" w:ascii="Arial" w:hAnsi="Arial"/>
                <w:b/>
                <w:color w:val="auto"/>
                <w:spacing w:val="0"/>
                <w:w w:val="100"/>
                <w:sz w:val="16"/>
                <w:szCs w:val="16"/>
                <w:lang w:val="ro-RO"/>
              </w:rPr>
              <w:t>RADIAȚII</w:t>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4"/>
                <w:szCs w:val="14"/>
              </w:rPr>
            </w:pPr>
            <w:r>
              <w:rPr>
                <w:rFonts w:eastAsia="Arial" w:cs="Arial" w:ascii="Arial" w:hAnsi="Arial"/>
                <w:b/>
                <w:color w:val="auto"/>
                <w:spacing w:val="0"/>
                <w:w w:val="100"/>
                <w:sz w:val="16"/>
                <w:szCs w:val="16"/>
                <w:lang w:val="ro-RO"/>
              </w:rPr>
              <w:t>ZGOMOT</w:t>
            </w:r>
          </w:p>
        </w:tc>
        <w:tc>
          <w:tcPr>
            <w:tcW w:w="1218" w:type="dxa"/>
            <w:gridSpan w:val="3"/>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4"/>
                <w:szCs w:val="14"/>
              </w:rPr>
            </w:pPr>
            <w:r>
              <w:rPr>
                <w:rFonts w:eastAsia="Arial" w:cs="Arial" w:ascii="Arial" w:hAnsi="Arial"/>
                <w:b/>
                <w:color w:val="auto"/>
                <w:spacing w:val="0"/>
                <w:w w:val="100"/>
                <w:sz w:val="16"/>
                <w:szCs w:val="16"/>
                <w:lang w:val="ro-RO"/>
              </w:rPr>
              <w:t>AEROSOLI</w:t>
            </w:r>
          </w:p>
        </w:tc>
        <w:tc>
          <w:tcPr>
            <w:tcW w:w="1212" w:type="dxa"/>
            <w:gridSpan w:val="2"/>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4"/>
                <w:szCs w:val="14"/>
              </w:rPr>
            </w:pPr>
            <w:r>
              <w:rPr>
                <w:rFonts w:eastAsia="Arial" w:cs="Arial" w:ascii="Arial" w:hAnsi="Arial"/>
                <w:b/>
                <w:color w:val="auto"/>
                <w:spacing w:val="0"/>
                <w:w w:val="100"/>
                <w:sz w:val="16"/>
                <w:szCs w:val="16"/>
                <w:lang w:val="ro-RO"/>
              </w:rPr>
              <w:t>LICHIDE</w:t>
            </w:r>
          </w:p>
        </w:tc>
        <w:tc>
          <w:tcPr>
            <w:tcW w:w="595" w:type="dxa"/>
            <w:vMerge w:val="restart"/>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GAZE, VAPORI</w:t>
            </w:r>
          </w:p>
        </w:tc>
        <w:tc>
          <w:tcPr>
            <w:tcW w:w="579" w:type="dxa"/>
            <w:vMerge w:val="restart"/>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ind w:right="-45"/>
              <w:jc w:val="center"/>
              <w:rPr>
                <w:rFonts w:ascii="Arial" w:hAnsi="Arial" w:cs="Arial"/>
                <w:color w:val="000000"/>
                <w:sz w:val="14"/>
                <w:szCs w:val="14"/>
              </w:rPr>
            </w:pPr>
            <w:r>
              <w:rPr>
                <w:rFonts w:eastAsia="Arial" w:cs="Arial" w:ascii="Arial" w:hAnsi="Arial"/>
                <w:color w:val="auto"/>
                <w:spacing w:val="0"/>
                <w:w w:val="100"/>
                <w:sz w:val="16"/>
                <w:szCs w:val="16"/>
                <w:lang w:val="ro-RO"/>
              </w:rPr>
              <w:t>Bacterii patogene</w:t>
            </w:r>
          </w:p>
        </w:tc>
        <w:tc>
          <w:tcPr>
            <w:tcW w:w="556" w:type="dxa"/>
            <w:vMerge w:val="restart"/>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Viruși patogeni</w:t>
            </w:r>
          </w:p>
        </w:tc>
        <w:tc>
          <w:tcPr>
            <w:tcW w:w="724" w:type="dxa"/>
            <w:vMerge w:val="restart"/>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ind w:right="-66"/>
              <w:jc w:val="center"/>
              <w:rPr>
                <w:rFonts w:ascii="Arial" w:hAnsi="Arial" w:cs="Arial"/>
                <w:color w:val="000000"/>
                <w:sz w:val="14"/>
                <w:szCs w:val="14"/>
              </w:rPr>
            </w:pPr>
            <w:r>
              <w:rPr>
                <w:rFonts w:eastAsia="Arial" w:cs="Arial" w:ascii="Arial" w:hAnsi="Arial"/>
                <w:color w:val="auto"/>
                <w:spacing w:val="0"/>
                <w:w w:val="100"/>
                <w:sz w:val="16"/>
                <w:szCs w:val="16"/>
                <w:lang w:val="ro-RO"/>
              </w:rPr>
              <w:t>Ciuperci generatoare de micoze</w:t>
            </w:r>
          </w:p>
        </w:tc>
        <w:tc>
          <w:tcPr>
            <w:tcW w:w="703" w:type="dxa"/>
            <w:vMerge w:val="restart"/>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ind w:right="-87"/>
              <w:jc w:val="center"/>
              <w:rPr>
                <w:rFonts w:ascii="Arial" w:hAnsi="Arial" w:cs="Arial"/>
                <w:color w:val="000000"/>
                <w:sz w:val="14"/>
                <w:szCs w:val="14"/>
              </w:rPr>
            </w:pPr>
            <w:r>
              <w:rPr>
                <w:rFonts w:eastAsia="Arial" w:cs="Arial" w:ascii="Arial" w:hAnsi="Arial"/>
                <w:color w:val="auto"/>
                <w:spacing w:val="0"/>
                <w:w w:val="100"/>
                <w:sz w:val="16"/>
                <w:szCs w:val="16"/>
                <w:lang w:val="ro-RO"/>
              </w:rPr>
              <w:t>Antigeni biologici nemicro-bieni</w:t>
            </w:r>
          </w:p>
        </w:tc>
      </w:tr>
      <w:tr>
        <w:trPr>
          <w:trHeight w:val="474" w:hRule="atLeast"/>
        </w:trPr>
        <w:tc>
          <w:tcPr>
            <w:tcW w:w="1946" w:type="dxa"/>
            <w:gridSpan w:val="3"/>
            <w:vMerge w:val="continue"/>
            <w:tcBorders>
              <w:top w:val="thickThinLargeGap" w:sz="6" w:space="0" w:color="C0C0C0"/>
              <w:left w:val="thickThinLargeGap" w:sz="6" w:space="0" w:color="C0C0C0"/>
              <w:right w:val="thickThinLargeGap" w:sz="6" w:space="0" w:color="C0C0C0"/>
            </w:tcBorders>
            <w:tcMar>
              <w:top w:w="15" w:type="dxa"/>
              <w:left w:w="30" w:type="dxa"/>
              <w:bottom w:w="15" w:type="dxa"/>
              <w:right w:w="30" w:type="dxa"/>
            </w:tcMa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Căderi de la înălțime</w:t>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Lovituri, tăieturi, impact, strivire</w:t>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Înțepături, tăieturi, zgârieturi</w:t>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Vibrații</w:t>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lang w:val="fr-FR"/>
              </w:rPr>
            </w:pPr>
            <w:r>
              <w:rPr>
                <w:rFonts w:eastAsia="Arial" w:cs="Arial" w:ascii="Arial" w:hAnsi="Arial"/>
                <w:color w:val="auto"/>
                <w:spacing w:val="0"/>
                <w:w w:val="100"/>
                <w:sz w:val="16"/>
                <w:szCs w:val="16"/>
                <w:lang w:val="ro-RO"/>
              </w:rPr>
              <w:t>Alunecare, cădere la același nivel</w:t>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Căldura, foc</w:t>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Frig</w:t>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Electrice</w:t>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Neionizante</w:t>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Ionizante</w:t>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Zgomot</w:t>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Pulberi, fibre</w:t>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Fum</w:t>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ind w:right="-51"/>
              <w:jc w:val="center"/>
              <w:rPr>
                <w:rFonts w:ascii="Arial" w:hAnsi="Arial" w:cs="Arial"/>
                <w:color w:val="000000"/>
                <w:sz w:val="14"/>
                <w:szCs w:val="14"/>
              </w:rPr>
            </w:pPr>
            <w:r>
              <w:rPr>
                <w:rFonts w:eastAsia="Arial" w:cs="Arial" w:ascii="Arial" w:hAnsi="Arial"/>
                <w:color w:val="auto"/>
                <w:spacing w:val="0"/>
                <w:w w:val="100"/>
                <w:sz w:val="16"/>
                <w:szCs w:val="16"/>
                <w:lang w:val="ro-RO"/>
              </w:rPr>
              <w:t>Ceață</w:t>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Imerșii</w:t>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Împroșcare, stropire</w:t>
            </w:r>
          </w:p>
        </w:tc>
        <w:tc>
          <w:tcPr>
            <w:tcW w:w="59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579"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556"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724"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703"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r>
      <w:tr>
        <w:trPr>
          <w:trHeight w:val="82" w:hRule="atLeast"/>
        </w:trPr>
        <w:tc>
          <w:tcPr>
            <w:tcW w:w="286" w:type="dxa"/>
            <w:vMerge w:val="restart"/>
            <w:tcBorders>
              <w:top w:val="thickThinLargeGap" w:sz="6" w:space="0" w:color="C0C0C0"/>
              <w:left w:val="thickThinLargeGap" w:sz="6" w:space="0" w:color="C0C0C0"/>
              <w:bottom w:val="thickThinLargeGap" w:sz="6" w:space="0" w:color="C0C0C0"/>
              <w:right w:val="thickThinLargeGap" w:sz="6" w:space="0" w:color="C0C0C0"/>
            </w:tcBorders>
            <w:shd w:fill="F3F3F3" w:val="clear"/>
            <w:textDirection w:val="btLr"/>
            <w:vAlign w:val="center"/>
          </w:tcPr>
          <w:p>
            <w:pPr>
              <w:pStyle w:val="Normal"/>
              <w:widowControl/>
              <w:spacing w:before="0" w:after="0"/>
              <w:ind w:left="113" w:right="113"/>
              <w:jc w:val="center"/>
              <w:rPr>
                <w:color w:val="000000"/>
                <w:sz w:val="16"/>
                <w:szCs w:val="16"/>
              </w:rPr>
            </w:pPr>
            <w:r>
              <w:rPr>
                <w:rFonts w:eastAsia="Arial" w:cs="Arial" w:ascii="Arial" w:hAnsi="Arial"/>
                <w:b/>
                <w:color w:val="auto"/>
                <w:spacing w:val="0"/>
                <w:w w:val="100"/>
                <w:sz w:val="16"/>
                <w:szCs w:val="16"/>
                <w:lang w:val="ro-RO"/>
              </w:rPr>
              <w:t>PĂRȚILE CORPULUI</w:t>
            </w:r>
          </w:p>
        </w:tc>
        <w:tc>
          <w:tcPr>
            <w:tcW w:w="845" w:type="dxa"/>
            <w:vMerge w:val="restart"/>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8"/>
                <w:szCs w:val="18"/>
              </w:rPr>
            </w:pPr>
            <w:r>
              <w:rPr>
                <w:rFonts w:eastAsia="Arial" w:cs="Arial" w:ascii="Arial" w:hAnsi="Arial"/>
                <w:b/>
                <w:color w:val="auto"/>
                <w:spacing w:val="0"/>
                <w:w w:val="100"/>
                <w:sz w:val="16"/>
                <w:szCs w:val="16"/>
                <w:lang w:val="ro-RO"/>
              </w:rPr>
              <w:t>CAP</w:t>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Craniu</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jc w:val="center"/>
              <w:rPr>
                <w:rFonts w:ascii="Arial" w:hAnsi="Arial" w:cs="Arial"/>
                <w:b/>
                <w:color w:val="000000"/>
                <w:sz w:val="18"/>
                <w:szCs w:val="18"/>
              </w:rPr>
            </w:pPr>
            <w:r>
              <w:rPr>
                <w:rFonts w:eastAsia="Arial" w:cs="Arial" w:ascii="Arial" w:hAnsi="Arial"/>
                <w:b/>
                <w:color w:val="auto"/>
                <w:spacing w:val="0"/>
                <w:w w:val="100"/>
                <w:sz w:val="20"/>
                <w:szCs w:val="20"/>
                <w:lang w:val="ro-RO"/>
              </w:rPr>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Urechi</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jc w:val="center"/>
              <w:rPr>
                <w:rFonts w:ascii="Arial" w:hAnsi="Arial" w:cs="Arial"/>
                <w:b/>
                <w:color w:val="000000"/>
                <w:sz w:val="18"/>
                <w:szCs w:val="18"/>
              </w:rPr>
            </w:pPr>
            <w:r>
              <w:rPr>
                <w:rFonts w:eastAsia="Arial" w:cs="Arial" w:ascii="Arial" w:hAnsi="Arial"/>
                <w:b/>
                <w:color w:val="auto"/>
                <w:spacing w:val="0"/>
                <w:w w:val="100"/>
                <w:sz w:val="20"/>
                <w:szCs w:val="20"/>
                <w:lang w:val="ro-RO"/>
              </w:rPr>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Ochi</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jc w:val="center"/>
              <w:rPr>
                <w:rFonts w:ascii="Arial" w:hAnsi="Arial" w:cs="Arial"/>
                <w:b/>
                <w:color w:val="000000"/>
                <w:sz w:val="18"/>
                <w:szCs w:val="18"/>
              </w:rPr>
            </w:pPr>
            <w:r>
              <w:rPr>
                <w:rFonts w:eastAsia="Arial" w:cs="Arial" w:ascii="Arial" w:hAnsi="Arial"/>
                <w:b/>
                <w:color w:val="auto"/>
                <w:spacing w:val="0"/>
                <w:w w:val="100"/>
                <w:sz w:val="20"/>
                <w:szCs w:val="20"/>
                <w:lang w:val="ro-RO"/>
              </w:rPr>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Căi respiratorii</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jc w:val="center"/>
              <w:rPr>
                <w:rFonts w:ascii="Arial" w:hAnsi="Arial" w:cs="Arial"/>
                <w:b/>
                <w:color w:val="000000"/>
                <w:sz w:val="18"/>
                <w:szCs w:val="18"/>
              </w:rPr>
            </w:pPr>
            <w:r>
              <w:rPr>
                <w:rFonts w:eastAsia="Arial" w:cs="Arial" w:ascii="Arial" w:hAnsi="Arial"/>
                <w:b/>
                <w:color w:val="auto"/>
                <w:spacing w:val="0"/>
                <w:w w:val="100"/>
                <w:sz w:val="20"/>
                <w:szCs w:val="20"/>
                <w:lang w:val="ro-RO"/>
              </w:rPr>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Fața</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jc w:val="center"/>
              <w:rPr>
                <w:rFonts w:ascii="Arial" w:hAnsi="Arial" w:cs="Arial"/>
                <w:b/>
                <w:color w:val="000000"/>
                <w:sz w:val="18"/>
                <w:szCs w:val="18"/>
              </w:rPr>
            </w:pPr>
            <w:r>
              <w:rPr>
                <w:rFonts w:eastAsia="Arial" w:cs="Arial" w:ascii="Arial" w:hAnsi="Arial"/>
                <w:b/>
                <w:color w:val="auto"/>
                <w:spacing w:val="0"/>
                <w:w w:val="100"/>
                <w:sz w:val="20"/>
                <w:szCs w:val="20"/>
                <w:lang w:val="ro-RO"/>
              </w:rPr>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Întregul cap</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restart"/>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8"/>
                <w:szCs w:val="18"/>
              </w:rPr>
            </w:pPr>
            <w:r>
              <w:rPr>
                <w:rFonts w:eastAsia="Arial" w:cs="Arial" w:ascii="Arial" w:hAnsi="Arial"/>
                <w:b/>
                <w:color w:val="auto"/>
                <w:spacing w:val="0"/>
                <w:w w:val="100"/>
                <w:sz w:val="16"/>
                <w:szCs w:val="16"/>
                <w:lang w:val="ro-RO"/>
              </w:rPr>
              <w:t>MEMBRE SUP.</w:t>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Mâini</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jc w:val="center"/>
              <w:rPr>
                <w:rFonts w:ascii="Arial" w:hAnsi="Arial" w:cs="Arial"/>
                <w:b/>
                <w:color w:val="000000"/>
                <w:sz w:val="18"/>
                <w:szCs w:val="18"/>
              </w:rPr>
            </w:pPr>
            <w:r>
              <w:rPr>
                <w:rFonts w:eastAsia="Arial" w:cs="Arial" w:ascii="Arial" w:hAnsi="Arial"/>
                <w:b/>
                <w:color w:val="auto"/>
                <w:spacing w:val="0"/>
                <w:w w:val="100"/>
                <w:sz w:val="20"/>
                <w:szCs w:val="20"/>
                <w:lang w:val="ro-RO"/>
              </w:rPr>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Brațe (părți)</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restart"/>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8"/>
                <w:szCs w:val="18"/>
              </w:rPr>
            </w:pPr>
            <w:r>
              <w:rPr>
                <w:rFonts w:eastAsia="Arial" w:cs="Arial" w:ascii="Arial" w:hAnsi="Arial"/>
                <w:b/>
                <w:color w:val="auto"/>
                <w:spacing w:val="0"/>
                <w:w w:val="100"/>
                <w:sz w:val="16"/>
                <w:szCs w:val="16"/>
                <w:lang w:val="ro-RO"/>
              </w:rPr>
              <w:t>MEMBRE INF.</w:t>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Picior</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jc w:val="center"/>
              <w:rPr>
                <w:rFonts w:ascii="Arial" w:hAnsi="Arial" w:cs="Arial"/>
                <w:b/>
                <w:color w:val="000000"/>
                <w:sz w:val="18"/>
                <w:szCs w:val="18"/>
              </w:rPr>
            </w:pPr>
            <w:r>
              <w:rPr>
                <w:rFonts w:eastAsia="Arial" w:cs="Arial" w:ascii="Arial" w:hAnsi="Arial"/>
                <w:b/>
                <w:color w:val="auto"/>
                <w:spacing w:val="0"/>
                <w:w w:val="100"/>
                <w:sz w:val="20"/>
                <w:szCs w:val="20"/>
                <w:lang w:val="ro-RO"/>
              </w:rPr>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Gambe (părți)</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restart"/>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8"/>
                <w:szCs w:val="18"/>
              </w:rPr>
            </w:pPr>
            <w:r>
              <w:rPr>
                <w:rFonts w:eastAsia="Arial" w:cs="Arial" w:ascii="Arial" w:hAnsi="Arial"/>
                <w:b/>
                <w:color w:val="auto"/>
                <w:spacing w:val="0"/>
                <w:w w:val="100"/>
                <w:sz w:val="16"/>
                <w:szCs w:val="16"/>
                <w:lang w:val="ro-RO"/>
              </w:rPr>
              <w:t>ALTELE</w:t>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Piele</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Trunchi abdomen</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Căi parenterale</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Întregul corp</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bl>
    <w:p>
      <w:pPr>
        <w:pStyle w:val="Normal"/>
        <w:widowControl/>
        <w:spacing w:before="0" w:after="0"/>
        <w:ind w:hanging="0" w:right="0"/>
        <w:jc w:val="left"/>
        <w:rPr>
          <w:rFonts w:ascii="Arial" w:hAnsi="Arial" w:cs="Arial"/>
          <w:b/>
          <w:bCs/>
          <w:sz w:val="2"/>
          <w:szCs w:val="20"/>
        </w:rPr>
      </w:pPr>
      <w:r>
        <w:rPr>
          <w:rFonts w:eastAsia="Arial" w:cs="Arial" w:ascii="Arial" w:hAnsi="Arial"/>
          <w:b/>
          <w:bCs/>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orient="landscape" w:w="16838" w:h="11906"/>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sz w:val="16"/>
        <w:szCs w:val="16"/>
      </w:rPr>
    </w:pPr>
    <w:r>
      <w:rP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sz w:val="16"/>
        <w:szCs w:val="16"/>
      </w:rPr>
    </w:pPr>
    <w:r>
      <w:rP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sz w:val="16"/>
        <w:szCs w:val="16"/>
      </w:rPr>
    </w:pPr>
    <w:r>
      <w:rP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12</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12</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12</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540"/>
        </w:tabs>
        <w:ind w:left="5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732"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suff w:val="space"/>
      <w:lvlText w:val="Art.%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12</Pages>
  <Words>3294</Words>
  <Characters>21560</Characters>
  <CharactersWithSpaces>24246</CharactersWithSpaces>
  <Paragraphs>529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2026-09-19T01:27:50Z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