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keepNext w:val="false"/>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pacing w:val="0"/>
          <w:w w:val="100"/>
          <w:sz w:val="20"/>
          <w:szCs w:val="20"/>
          <w:lang w:val="ro-RO"/>
        </w:rPr>
        <w:t xml:space="preserve">În baza prevederilor legale în domeniul securității și sănătății în muncă din Legea 319/ 2006 Art. 8, alin. (1), alin. (4) și din H.G. 1425/ 2006 Art. 14, Art. 15, alin. (1), punctul 4, Art. 20, alin. (1), Art. 85, Art. 89, alin. (1), Art. 91, alin. (1), Art. 94, Art. 96, alin. (1) și alin. (4), {{client.representativeName}}, în calitate de</w:t>
      </w:r>
      <w:r>
        <w:rPr>
          <w:rFonts w:eastAsia="Arial" w:cs="Arial" w:ascii="Arial" w:hAnsi="Arial"/>
          <w:color w:val="auto"/>
          <w:spacing w:val="0"/>
          <w:w w:val="100"/>
          <w:sz w:val="20"/>
          <w:szCs w:val="20"/>
          <w:lang w:val="ro-RO"/>
        </w:rPr>
        <w:t xml:space="preserve"> {{client.representativeRole}}</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Efectuarea instruirilor în domeniul securității și sănătății în muncă la personalul angajat al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xml:space="preserve">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 xml:space="preserve">Personalul din cadrul serviciului extern de prevenire și protecție {{provider.legalName}} va efectua instruirea introductiv-generală la angajații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 xml:space="preserve">Personalul din cadrul serviciului extern de prevenire și protecție {{provider.legalName}} va efectua instruirea la locul de muncă și instruirea periodică pentru {{#training.administrative}}personalul tehnico-administrativ și pentru {{/training.administrative}}personalul de conducere al locurilor de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{{#workplaceManagers}</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lang w:val="ro-RO"/>
        </w:rPr>
        <w:t xml:space="preserve">{{name}}, având </w:t>
      </w:r>
      <w:r>
        <w:rPr>
          <w:rFonts w:eastAsia="Arial" w:cs="Arial" w:ascii="Arial" w:hAnsi="Arial"/>
          <w:color w:val="auto"/>
          <w:spacing w:val="0"/>
          <w:w w:val="100"/>
          <w:sz w:val="20"/>
          <w:szCs w:val="20"/>
          <w:lang w:val="ro-RO"/>
        </w:rPr>
        <w:t>funcția de {{jobT</w:t>
      </w:r>
      <w:r>
        <w:rPr>
          <w:rFonts w:eastAsia="Arial" w:cs="Arial" w:ascii="Arial" w:hAnsi="Arial"/>
          <w:color w:val="auto"/>
          <w:spacing w:val="0"/>
          <w:w w:val="100"/>
          <w:sz w:val="20"/>
          <w:szCs w:val="20"/>
          <w:lang w:val="ro-RO"/>
        </w:rPr>
        <w:t xml:space="preserve">itle}} în cadrul unității; {{/workplaceManagers}}</w:t>
      </w:r>
    </w:p>
    <w:p>
      <w:pPr>
        <w:pStyle w:val="Normal"/>
        <w:widowControl/>
        <w:numPr>
          <w:ilvl w:val="1"/>
          <w:numId w:val="9"/>
        </w:numPr>
        <w:spacing w:before="0" w:after="120"/>
        <w:jc w:val="left"/>
        <w:rPr>
          <w:rFonts w:ascii="Arial" w:hAnsi="Arial" w:cs="Arial"/>
          <w:b/>
          <w:sz w:val="20"/>
          <w:szCs w:val="20"/>
        </w:rPr>
      </w:pPr>
      <w:r>
        <w:rPr>
          <w:rFonts w:eastAsia="Arial" w:cs="Arial" w:ascii="Arial" w:hAnsi="Arial"/>
          <w:color w:val="auto"/>
          <w:spacing w:val="0"/>
          <w:w w:val="100"/>
          <w:sz w:val="20"/>
          <w:szCs w:val="20"/>
          <w:lang w:val="ro-RO"/>
        </w:rPr>
        <w:t xml:space="preserve">Personalul de conducere al locurilor de muncă – {{workplaceManagersText}} – va efectua instruirea la locul de muncă și instruirea periodică pentru personalul de execuție din cadrul {{client.legalName}}.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Instruirea în domeniul securității și sănătății în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executa astfel:</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introductiv-generală</w:t>
      </w:r>
      <w:r>
        <w:rPr>
          <w:rStyle w:val="tpa1"/>
          <w:rFonts w:eastAsia="Arial" w:cs="Arial" w:ascii="Arial" w:hAnsi="Arial"/>
          <w:color w:val="auto"/>
          <w:spacing w:val="0"/>
          <w:w w:val="100"/>
          <w:sz w:val="20"/>
          <w:szCs w:val="20"/>
          <w:lang w:val="ro-RO"/>
        </w:rPr>
        <w:t>:</w:t>
      </w:r>
    </w:p>
    <w:p>
      <w:pPr>
        <w:pStyle w:val="Normal"/>
        <w:widowControl/>
        <w:numPr>
          <w:ilvl w:val="0"/>
          <w:numId w:val="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H.G. 1425/ 2006, Art. 80¹ – Durata instruirii introductiv-generale nu va fi mai mică de 1 oră;</w:t>
      </w:r>
    </w:p>
    <w:p>
      <w:pPr>
        <w:pStyle w:val="Normal"/>
        <w:keepNext/>
        <w:widowControl/>
        <w:numPr>
          <w:ilvl w:val="0"/>
          <w:numId w:val="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pacing w:val="0"/>
          <w:w w:val="100"/>
          <w:sz w:val="20"/>
          <w:szCs w:val="20"/>
          <w:lang w:val="ro-RO"/>
        </w:rPr>
        <w:t>lucrătorului pus la dispoziție de către un agent de muncă temporar.</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al1"/>
          <w:rFonts w:eastAsia="Arial" w:cs="Arial" w:ascii="Arial" w:hAnsi="Arial"/>
          <w:b/>
          <w:color w:val="auto"/>
          <w:spacing w:val="0"/>
          <w:w w:val="100"/>
          <w:sz w:val="20"/>
          <w:szCs w:val="20"/>
          <w:lang w:val="ro-RO"/>
        </w:rPr>
        <w:t>la locul de muncă</w:t>
      </w:r>
      <w:r>
        <w:rPr>
          <w:rStyle w:val="tpa1"/>
          <w:rFonts w:eastAsia="Arial" w:cs="Arial" w:ascii="Arial" w:hAnsi="Arial"/>
          <w:color w:val="auto"/>
          <w:spacing w:val="0"/>
          <w:w w:val="100"/>
          <w:sz w:val="20"/>
          <w:szCs w:val="20"/>
          <w:lang w:val="ro-RO"/>
        </w:rPr>
        <w:t>:</w:t>
      </w:r>
    </w:p>
    <w:p>
      <w:pPr>
        <w:pStyle w:val="Normal"/>
        <w:widowControl/>
        <w:numPr>
          <w:ilvl w:val="0"/>
          <w:numId w:val="11"/>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H.G. 1425/ 2006, Art. 80¹ – Durata instruirii la locul de muncă nu va fi mai mică de 1 oră;</w:t>
      </w:r>
    </w:p>
    <w:p>
      <w:pPr>
        <w:pStyle w:val="Normal"/>
        <w:keepNext/>
        <w:widowControl/>
        <w:numPr>
          <w:ilvl w:val="0"/>
          <w:numId w:val="11"/>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Categorii de personal care participă la efectuarea instruirilor:</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angajarea lucrătorilor definiți conform art. 5 lit. a) din Legea 319/ 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inclusiv la schimbarea locului de muncă în cadrul întreprinderii și/ sau al unității.</w:t>
      </w:r>
    </w:p>
    <w:p>
      <w:pPr>
        <w:pStyle w:val="Normal"/>
        <w:keepNext/>
        <w:widowControl/>
        <w:numPr>
          <w:ilvl w:val="0"/>
          <w:numId w:val="10"/>
        </w:numPr>
        <w:spacing w:before="0" w:after="4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periodică</w:t>
      </w:r>
      <w:r>
        <w:rPr>
          <w:rStyle w:val="tpa1"/>
          <w:rFonts w:eastAsia="Arial" w:cs="Arial" w:ascii="Arial" w:hAnsi="Arial"/>
          <w:color w:val="auto"/>
          <w:spacing w:val="0"/>
          <w:w w:val="100"/>
          <w:sz w:val="20"/>
          <w:szCs w:val="20"/>
          <w:lang w:val="ro-RO"/>
        </w:rPr>
        <w:t>:</w:t>
      </w:r>
    </w:p>
    <w:p>
      <w:pPr>
        <w:pStyle w:val="Normal"/>
        <w:widowControl/>
        <w:numPr>
          <w:ilvl w:val="0"/>
          <w:numId w:val="13"/>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Se face tuturor lucrătorilor prevăzuți la art. 83 </w:t>
      </w:r>
      <w:r>
        <w:rPr>
          <w:rFonts w:eastAsia="Arial" w:cs="Arial" w:ascii="Arial" w:hAnsi="Arial"/>
          <w:i/>
          <w:color w:val="auto"/>
          <w:spacing w:val="0"/>
          <w:w w:val="100"/>
          <w:sz w:val="20"/>
          <w:szCs w:val="20"/>
          <w:lang w:val="ro-RO"/>
        </w:rPr>
        <w:t xml:space="preserve">din H.G. 1425/ 2006 </w:t>
      </w:r>
      <w:r>
        <w:rPr>
          <w:rStyle w:val="tpa1"/>
          <w:rFonts w:eastAsia="Arial" w:cs="Arial" w:ascii="Arial" w:hAnsi="Arial"/>
          <w:color w:val="auto"/>
          <w:spacing w:val="0"/>
          <w:w w:val="100"/>
          <w:sz w:val="20"/>
          <w:szCs w:val="20"/>
          <w:lang w:val="ro-RO"/>
        </w:rPr>
        <w:t>și are drept scop reîmprospătarea și actualizarea cunoștințelor în domeniul securității și sănătății în muncă.</w:t>
      </w:r>
    </w:p>
    <w:p>
      <w:pPr>
        <w:pStyle w:val="Normal"/>
        <w:widowControl/>
        <w:numPr>
          <w:ilvl w:val="0"/>
          <w:numId w:val="1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(Conf. H.G. 1425/ 2006, Art. 80¹) În cadrul {{client.legalName}}, </w:t>
      </w:r>
      <w:r>
        <w:rPr>
          <w:rStyle w:val="spar"/>
          <w:rFonts w:eastAsia="Arial" w:cs="Arial" w:ascii="Arial" w:hAnsi="Arial"/>
          <w:color w:val="auto"/>
          <w:spacing w:val="0"/>
          <w:w w:val="100"/>
          <w:sz w:val="20"/>
          <w:szCs w:val="20"/>
          <w:shd w:fill="FFFFFF" w:val="clear"/>
          <w:lang w:val="ro-RO"/>
        </w:rPr>
        <w:t>durata instruirii periodice</w:t>
      </w:r>
      <w:r>
        <w:rPr>
          <w:rFonts w:eastAsia="Arial" w:cs="Arial" w:ascii="Arial" w:hAnsi="Arial"/>
          <w:color w:val="auto"/>
          <w:spacing w:val="0"/>
          <w:w w:val="100"/>
          <w:sz w:val="20"/>
          <w:szCs w:val="20"/>
          <w:lang w:val="ro-RO"/>
        </w:rPr>
        <w:t xml:space="preserve"> va fi de </w:t>
      </w:r>
      <w:r>
        <w:rPr>
          <w:rFonts w:eastAsia="Arial" w:cs="Arial" w:ascii="Arial" w:hAnsi="Arial"/>
          <w:b/>
          <w:color w:val="auto"/>
          <w:spacing w:val="0"/>
          <w:w w:val="100"/>
          <w:sz w:val="20"/>
          <w:szCs w:val="20"/>
          <w:lang w:val="ro-RO"/>
        </w:rPr>
        <w:t>{{training.periodicDuration}}</w:t>
      </w:r>
      <w:r>
        <w:rPr>
          <w:rFonts w:eastAsia="Arial" w:cs="Arial" w:ascii="Arial" w:hAnsi="Arial"/>
          <w:color w:val="auto"/>
          <w:spacing w:val="0"/>
          <w:w w:val="100"/>
          <w:sz w:val="20"/>
          <w:szCs w:val="20"/>
          <w:lang w:val="ro-RO"/>
        </w:rPr>
        <w:t>;</w:t>
      </w:r>
    </w:p>
    <w:p>
      <w:pPr>
        <w:pStyle w:val="Normal"/>
        <w:widowControl/>
        <w:numPr>
          <w:ilvl w:val="0"/>
          <w:numId w:val="13"/>
        </w:numPr>
        <w:spacing w:before="0" w:after="120"/>
        <w:ind w:hanging="360" w:left="1080"/>
        <w:jc w:val="left"/>
        <w:rPr>
          <w:rFonts w:ascii="Arial" w:hAnsi="Arial" w:cs="Arial"/>
          <w:sz w:val="20"/>
          <w:szCs w:val="20"/>
        </w:rPr>
      </w:pPr>
      <w:r>
        <w:rPr>
          <w:rFonts w:ascii="Arial" w:hAnsi="Arial" w:cs="Arial" w:eastAsia="Arial"/>
          <w:color w:val="auto"/>
          <w:sz w:val="20"/>
          <w:szCs w:val="20"/>
          <w:lang w:val="ro-RO"/>
        </w:rPr>
        <w:t xml:space="preserve">Având în vedere specificul activităților desfășurate în cadrul {{client.legalName}}, conform prevederilor din H.G. 1425/ 2006, Art. 96, alin. (2) stabilesc {{training.intervalPhrase}} pentru efectuarea instruirilor periodice:</w:t>
      </w:r>
    </w:p>
    <w:p>
      <w:r>
        <w:t>{{#training.administrative}}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 xml:space="preserve">personalul tehnico-administrativ și șefii de locuri de muncă</w:t>
      </w:r>
      <w:r>
        <w:rPr>
          <w:rFonts w:eastAsia="Arial" w:cs="Arial" w:ascii="Arial" w:hAnsi="Arial"/>
          <w:color w:val="auto"/>
          <w:spacing w:val="0"/>
          <w:w w:val="100"/>
          <w:sz w:val="20"/>
          <w:szCs w:val="20"/>
          <w:lang w:val="ro-RO"/>
        </w:rPr>
        <w:t xml:space="preserve"> vor fi instruiți </w:t>
      </w:r>
      <w:r>
        <w:rPr>
          <w:rFonts w:eastAsia="Arial" w:cs="Arial" w:ascii="Arial" w:hAnsi="Arial"/>
          <w:b/>
          <w:bCs/>
          <w:color w:val="auto"/>
          <w:spacing w:val="0"/>
          <w:w w:val="100"/>
          <w:sz w:val="20"/>
          <w:szCs w:val="20"/>
          <w:lang w:val="ro-RO"/>
        </w:rPr>
        <w:t xml:space="preserve">{{training.administrativeFrequency}}, </w:t>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t>
      </w:r>
      <w:r>
        <w:rPr>
          <w:rFonts w:eastAsia="Arial" w:cs="Arial" w:ascii="Arial" w:hAnsi="Arial"/>
          <w:b/>
          <w:bCs/>
          <w:color w:val="auto"/>
          <w:spacing w:val="0"/>
          <w:w w:val="100"/>
          <w:sz w:val="20"/>
          <w:szCs w:val="20"/>
          <w:lang w:val="ro-RO"/>
        </w:rPr>
        <w:t xml:space="preserve">.administrativeMonths}}, </w:t>
      </w:r>
      <w:r>
        <w:rPr>
          <w:rFonts w:eastAsia="Arial" w:cs="Arial" w:ascii="Arial" w:hAnsi="Arial"/>
          <w:b/>
          <w:color w:val="auto"/>
          <w:spacing w:val="0"/>
          <w:w w:val="100"/>
          <w:sz w:val="20"/>
          <w:szCs w:val="20"/>
          <w:lang w:val="ro-RO"/>
        </w:rPr>
        <w:t xml:space="preserve">în perioada (zilele) {{training.dayFrom}} – {{training.dayTo}} ale lunii</w:t>
      </w:r>
      <w:r>
        <w:rPr>
          <w:rFonts w:eastAsia="Arial" w:cs="Arial" w:ascii="Arial" w:hAnsi="Arial"/>
          <w:color w:val="auto"/>
          <w:spacing w:val="0"/>
          <w:w w:val="100"/>
          <w:sz w:val="20"/>
          <w:szCs w:val="20"/>
          <w:lang w:val="ro-RO"/>
        </w:rPr>
        <w:t>;</w:t>
      </w:r>
    </w:p>
    <w:p>
      <w:r>
        <w:t>{{/training.administrative}}</w:t>
      </w:r>
    </w:p>
    <w:p>
      <w:r>
        <w:t>{{#training.worker}}</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personalul de execuție</w:t>
      </w:r>
      <w:r>
        <w:rPr>
          <w:rFonts w:eastAsia="Arial" w:cs="Arial" w:ascii="Arial" w:hAnsi="Arial"/>
          <w:color w:val="auto"/>
          <w:spacing w:val="0"/>
          <w:w w:val="100"/>
          <w:sz w:val="20"/>
          <w:szCs w:val="20"/>
          <w:lang w:val="ro-RO"/>
        </w:rPr>
        <w:t xml:space="preserve"> va fi instruit </w:t>
      </w:r>
      <w:r>
        <w:rPr>
          <w:rFonts w:eastAsia="Arial" w:cs="Arial" w:ascii="Arial" w:hAnsi="Arial"/>
          <w:b/>
          <w:bCs/>
          <w:color w:val="auto"/>
          <w:spacing w:val="0"/>
          <w:w w:val="100"/>
          <w:sz w:val="20"/>
          <w:szCs w:val="20"/>
          <w:lang w:val="ro-RO"/>
        </w:rPr>
        <w:t xml:space="preserve">{{training.workerFrequency}}, </w:t>
      </w:r>
      <w:r>
        <w:rPr>
          <w:rFonts w:eastAsia="Arial" w:cs="Arial" w:ascii="Arial" w:hAnsi="Arial"/>
          <w:b/>
          <w:color w:val="auto"/>
          <w:spacing w:val="0"/>
          <w:w w:val="100"/>
          <w:sz w:val="20"/>
          <w:szCs w:val="20"/>
          <w:lang w:val="ro-RO"/>
        </w:rPr>
        <w:t xml:space="preserve"/>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w:t>
      </w:r>
      <w:r>
        <w:rPr>
          <w:rFonts w:eastAsia="Arial" w:cs="Arial" w:ascii="Arial" w:hAnsi="Arial"/>
          <w:b/>
          <w:bCs/>
          <w:color w:val="auto"/>
          <w:spacing w:val="0"/>
          <w:w w:val="100"/>
          <w:sz w:val="20"/>
          <w:szCs w:val="20"/>
          <w:lang w:val="ro-RO"/>
        </w:rPr>
        <w:t xml:space="preserve">orkerMonths}}, </w:t>
      </w:r>
      <w:r>
        <w:rPr>
          <w:rFonts w:eastAsia="Arial" w:cs="Arial" w:ascii="Arial" w:hAnsi="Arial"/>
          <w:b/>
          <w:color w:val="auto"/>
          <w:spacing w:val="0"/>
          <w:w w:val="100"/>
          <w:sz w:val="20"/>
          <w:szCs w:val="20"/>
          <w:lang w:val="ro-RO"/>
        </w:rPr>
        <w:t xml:space="preserve">în perioada (zilele) {{training.dayFrom}} – {{training.dayTo}} ale lunii</w:t>
      </w:r>
      <w:r>
        <w:rPr>
          <w:rFonts w:eastAsia="Arial" w:cs="Arial" w:ascii="Arial" w:hAnsi="Arial"/>
          <w:color w:val="auto"/>
          <w:spacing w:val="0"/>
          <w:w w:val="100"/>
          <w:sz w:val="20"/>
          <w:szCs w:val="20"/>
          <w:lang w:val="ro-RO"/>
        </w:rPr>
        <w:t>;</w:t>
      </w:r>
    </w:p>
    <w:p>
      <w:r>
        <w:t>{{/training.worker}}</w:t>
      </w:r>
    </w:p>
    <w:p>
      <w:pPr>
        <w:pStyle w:val="Normal"/>
        <w:widowControl/>
        <w:numPr>
          <w:ilvl w:val="0"/>
          <w:numId w:val="10"/>
        </w:numPr>
        <w:spacing w:before="0" w:after="120"/>
        <w:jc w:val="left"/>
        <w:rPr>
          <w:rStyle w:val="tpa1"/>
          <w:rFonts w:ascii="Arial" w:hAnsi="Arial" w:cs="Arial"/>
          <w:sz w:val="20"/>
          <w:szCs w:val="20"/>
        </w:rPr>
      </w:pPr>
      <w:r>
        <w:rPr>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nstruirea</w:t>
      </w:r>
      <w:r>
        <w:rPr>
          <w:rStyle w:val="tpa1"/>
          <w:rFonts w:eastAsia="Arial" w:cs="Arial" w:ascii="Arial" w:hAnsi="Arial"/>
          <w:b/>
          <w:color w:val="auto"/>
          <w:spacing w:val="0"/>
          <w:w w:val="100"/>
          <w:sz w:val="20"/>
          <w:szCs w:val="20"/>
          <w:lang w:val="ro-RO"/>
        </w:rPr>
        <w:t xml:space="preserve"> periodică se face suplimentar </w:t>
      </w:r>
      <w:r>
        <w:rPr>
          <w:rStyle w:val="tpa1"/>
          <w:rFonts w:eastAsia="Arial" w:cs="Arial" w:ascii="Arial" w:hAnsi="Arial"/>
          <w:color w:val="auto"/>
          <w:spacing w:val="0"/>
          <w:w w:val="100"/>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pacing w:val="0"/>
          <w:w w:val="100"/>
          <w:sz w:val="20"/>
          <w:szCs w:val="20"/>
          <w:lang w:val="ro-RO"/>
        </w:rPr>
        <w:t>(Preluare din H.G. 1425/ 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12"/>
        </w:numPr>
        <w:spacing w:before="0" w:after="120"/>
        <w:ind w:right="0"/>
        <w:jc w:val="left"/>
        <w:rPr>
          <w:rStyle w:val="spar"/>
          <w:rFonts w:ascii="Arial" w:hAnsi="Arial" w:cs="Arial"/>
          <w:i/>
          <w:sz w:val="20"/>
          <w:szCs w:val="20"/>
        </w:rPr>
      </w:pPr>
      <w:r>
        <w:rPr>
          <w:rFonts w:eastAsia="Arial" w:cs="Arial" w:ascii="Arial" w:hAnsi="Arial"/>
          <w:i/>
          <w:color w:val="auto"/>
          <w:spacing w:val="0"/>
          <w:w w:val="100"/>
          <w:sz w:val="20"/>
          <w:szCs w:val="20"/>
          <w:lang w:val="ro-RO"/>
        </w:rPr>
        <w:t xml:space="preserve">(Preluare din H.G. 1425/ 2006 – Art. 99 – conf. H.G. 767/ 2016, pct. 6)</w:t>
      </w:r>
      <w:r>
        <w:rPr>
          <w:rFonts w:eastAsia="Arial" w:cs="Arial" w:ascii="Arial" w:hAnsi="Arial"/>
          <w:color w:val="auto"/>
          <w:spacing w:val="0"/>
          <w:w w:val="100"/>
          <w:sz w:val="20"/>
          <w:szCs w:val="20"/>
          <w:lang w:val="ro-RO"/>
        </w:rPr>
        <w:t xml:space="preserve"> În cadrul {{client.legalName}}, </w:t>
      </w:r>
      <w:r>
        <w:rPr>
          <w:rStyle w:val="spar"/>
          <w:rFonts w:eastAsia="Arial" w:cs="Arial" w:ascii="Arial" w:hAnsi="Arial"/>
          <w:color w:val="auto"/>
          <w:spacing w:val="0"/>
          <w:w w:val="100"/>
          <w:sz w:val="20"/>
          <w:szCs w:val="20"/>
          <w:shd w:fill="FFFFFF" w:val="clear"/>
          <w:lang w:val="ro-RO"/>
        </w:rPr>
        <w:t>durata instruirii periodice prevăzute la art. 98 se stabilește de către angajator, împreună cu:</w:t>
      </w:r>
    </w:p>
    <w:p>
      <w:pPr>
        <w:pStyle w:val="Heading1"/>
        <w:keepNext/>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conducătorul locului de muncă respectiv,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lucrătorul desemnat,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extern de prevenire și protecție.</w:t>
      </w:r>
    </w:p>
    <w:p>
      <w:pPr>
        <w:pStyle w:val="Heading1"/>
        <w:widowControl/>
        <w:spacing w:before="80" w:after="120"/>
        <w:ind w:left="1080" w:right="0" w:hanging="0"/>
        <w:jc w:val="left"/>
        <w:rPr>
          <w:rStyle w:val="tpa1"/>
          <w:rFonts w:ascii="Arial" w:hAnsi="Arial" w:cs="Arial"/>
          <w:sz w:val="20"/>
          <w:szCs w:val="20"/>
          <w:shd w:fill="FFFFFF" w:val="clear"/>
        </w:rPr>
      </w:pPr>
      <w:r>
        <w:rPr>
          <w:rFonts w:eastAsia="Arial" w:cs="Arial" w:ascii="Arial" w:hAnsi="Arial"/>
          <w:color w:val="auto"/>
          <w:spacing w:val="0"/>
          <w:w w:val="100"/>
          <w:sz w:val="20"/>
          <w:szCs w:val="20"/>
          <w:lang w:val="ro-RO"/>
        </w:rPr>
        <w:t xml:space="preserve">H.G. 1425/ 2006, Art. 80¹ – Durata instruirii suplimentare nu va fi mai mică de 1 oră.</w:t>
      </w:r>
    </w:p>
    <w:p>
      <w:pPr>
        <w:pStyle w:val="Heading1"/>
        <w:widowControl/>
        <w:numPr>
          <w:ilvl w:val="0"/>
          <w:numId w:val="12"/>
        </w:numPr>
        <w:spacing w:before="0" w:after="120"/>
        <w:ind w:right="0"/>
        <w:jc w:val="left"/>
        <w:rPr>
          <w:rFonts w:ascii="Arial" w:hAnsi="Arial" w:cs="Arial"/>
          <w:i/>
          <w:sz w:val="20"/>
          <w:szCs w:val="20"/>
        </w:rPr>
      </w:pPr>
      <w:r>
        <w:rPr>
          <w:rFonts w:eastAsia="Arial" w:cs="Arial" w:ascii="Arial" w:hAnsi="Arial"/>
          <w:i/>
          <w:color w:val="auto"/>
          <w:spacing w:val="0"/>
          <w:w w:val="100"/>
          <w:sz w:val="20"/>
          <w:szCs w:val="20"/>
          <w:lang w:val="ro-RO"/>
        </w:rPr>
        <w:t xml:space="preserve">(Preluare din H.G. 1425/ 2006 – Art. 100)</w:t>
      </w:r>
      <w:r>
        <w:rPr>
          <w:rFonts w:eastAsia="Arial" w:cs="Arial" w:ascii="Arial" w:hAnsi="Arial"/>
          <w:color w:val="auto"/>
          <w:spacing w:val="0"/>
          <w:w w:val="100"/>
          <w:sz w:val="20"/>
          <w:szCs w:val="20"/>
          <w:lang w:val="ro-RO"/>
        </w:rPr>
        <w:t xml:space="preserve"> În cadrul {{client.legalName}}, i</w:t>
      </w:r>
      <w:r>
        <w:rPr>
          <w:rStyle w:val="tpa1"/>
          <w:rFonts w:eastAsia="Arial" w:cs="Arial" w:ascii="Arial" w:hAnsi="Arial"/>
          <w:color w:val="auto"/>
          <w:spacing w:val="0"/>
          <w:w w:val="100"/>
          <w:sz w:val="20"/>
          <w:szCs w:val="20"/>
          <w:lang w:val="ro-RO"/>
        </w:rPr>
        <w:t xml:space="preserve">nstruirea periodică suplimentară se va efectua pe baza tematicilor </w:t>
      </w:r>
      <w:r>
        <w:rPr>
          <w:rStyle w:val="tal1"/>
          <w:rFonts w:eastAsia="Arial" w:cs="Arial" w:ascii="Arial" w:hAnsi="Arial"/>
          <w:color w:val="auto"/>
          <w:spacing w:val="0"/>
          <w:w w:val="100"/>
          <w:sz w:val="20"/>
          <w:szCs w:val="20"/>
          <w:lang w:val="ro-RO"/>
        </w:rPr>
        <w:t xml:space="preserve">întocmite de către serviciul extern de prevenire și protecție – {{provider.legalName}} și aprobate de către angajator,</w:t>
      </w:r>
      <w:r>
        <w:rPr>
          <w:rStyle w:val="tpa1"/>
          <w:rFonts w:eastAsia="Arial" w:cs="Arial" w:ascii="Arial" w:hAnsi="Arial"/>
          <w:color w:val="auto"/>
          <w:spacing w:val="0"/>
          <w:w w:val="100"/>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Verificarea cunoștințelor angajaților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pe bază de teste, potrivit tematicii de instruire</w:t>
      </w:r>
      <w:r>
        <w:rPr>
          <w:rStyle w:val="PageNumber"/>
          <w:rFonts w:eastAsia="Arial" w:cs="Arial" w:ascii="Arial" w:hAnsi="Arial"/>
          <w:color w:val="auto"/>
          <w:spacing w:val="0"/>
          <w:w w:val="100"/>
          <w:sz w:val="20"/>
          <w:szCs w:val="20"/>
          <w:lang w:val="ro-RO"/>
        </w:rPr>
        <w:t xml:space="preserve">.</w:t>
      </w:r>
    </w:p>
    <w:p>
      <w:pPr>
        <w:pStyle w:val="Normal"/>
        <w:widowControl/>
        <w:numPr>
          <w:ilvl w:val="0"/>
          <w:numId w:val="4"/>
        </w:numPr>
        <w:spacing w:before="120" w:after="60"/>
        <w:jc w:val="left"/>
        <w:rPr>
          <w:rStyle w:val="PageNumber"/>
          <w:rFonts w:ascii="Arial" w:hAnsi="Arial" w:cs="Arial"/>
          <w:sz w:val="20"/>
          <w:szCs w:val="20"/>
        </w:rPr>
      </w:pPr>
      <w:r>
        <w:rPr>
          <w:rFonts w:eastAsia="Arial" w:cs="Arial" w:ascii="Arial" w:hAnsi="Arial"/>
          <w:color w:val="auto"/>
          <w:spacing w:val="0"/>
          <w:w w:val="100"/>
          <w:sz w:val="20"/>
          <w:szCs w:val="20"/>
          <w:lang w:val="ro-RO"/>
        </w:rPr>
        <w:t>Verificarea efectuării instruirii periodice, însușirea cunoștințelor și modul de respectare a prevederilor legislative, regulilor, instrucțiunilor, deciziilor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selectiv și/ sau cumulat de către angajator, având parte de consultanță prin specialiștii în domeniul securității și sănătății în muncă din cadrul {{pro</w:t>
      </w:r>
      <w:r>
        <w:rPr>
          <w:rStyle w:val="PageNumber"/>
          <w:rFonts w:eastAsia="Arial" w:cs="Arial" w:ascii="Arial" w:hAnsi="Arial"/>
          <w:color w:val="auto"/>
          <w:spacing w:val="0"/>
          <w:w w:val="100"/>
          <w:sz w:val="20"/>
          <w:szCs w:val="20"/>
          <w:lang w:val="ro-RO"/>
        </w:rPr>
        <w:t>vider.legalName}}.</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În cazul în care persoanele numite pe funcții cu atribuții în domeniul securității și sănătății în muncă (personalul de conducere al locurilor de muncă menționat mai sus) se schimbă, noii angajați vor lua la cunoștință despre prezenta decizie prin semnarea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procesului-verbal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ascii="Arial" w:hAnsi="Arial" w:cs="Arial" w:eastAsia="Arial"/>
          <w:color w:val="auto"/>
          <w:sz w:val="20"/>
          <w:szCs w:val="20"/>
          <w:lang w:val="ro-RO"/>
        </w:rPr>
        <w:t xml:space="preserve">Prezența salariaților la instruire este obligatorie și va fi asigurată de conducerea unității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pacing w:val="0"/>
          <w:w w:val="100"/>
          <w:sz w:val="20"/>
          <w:szCs w:val="20"/>
          <w:lang w:val="ro-RO"/>
        </w:rPr>
        <w:t xml:space="preserve">PROCES-VERBAL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pacing w:val="0"/>
          <w:w w:val="100"/>
          <w:sz w:val="20"/>
          <w:szCs w:val="20"/>
          <w:lang w:val="ro-RO"/>
        </w:rPr>
        <w:t>{{issueDate}}.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Times New Roman" w:hAnsi="Times New Roman" w:cs="Times New Roman" w:hint="default"/>
        <w:b w:val="false"/>
        <w:i w:val="false"/>
        <w:sz w:val="22"/>
        <w:szCs w:val="22"/>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Times New Roman" w:hAnsi="Times New Roman" w:cs="Times New Roman" w:hint="default"/>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Times New Roman" w:hAnsi="Times New Roman" w:cs="Times New Roman" w:hint="default"/>
        <w:b w:val="false"/>
        <w:i w:val="false"/>
        <w:sz w:val="22"/>
        <w:szCs w:val="22"/>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Times New Roman" w:hAnsi="Times New Roman" w:cs="Times New Roman" w:hint="default"/>
        <w:b/>
        <w:i w:val="false"/>
        <w:sz w:val="18"/>
        <w:szCs w:val="18"/>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1094</Words>
  <Characters>6855</Characters>
  <CharactersWithSpaces>7829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2026-09-19T01:20:52Z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