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instruirea lucrătorilor în domeniul securității și sănătății în muncă – activitatea prin care lucrătorilor li se transmit cunoștințele și deprinderile necesare pentru desfășurarea activității în condiții de securitate și sănătate; cuprinde trei faze: instruirea introductiv-generală, instruirea la locul de muncă și instruirea periodică (H.G. 1425/ 2006, art. 77);</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sportiv;</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4) Echipamentul individual de protecție trebuie utilizat atunci când riscurile nu pot fi evitate sau limitate suficient prin mijloacele tehnice de protecție colectivă ori prin măsurile, metodele sau procedurile de organizare a muncii.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11) Angajatorul informează mai întâi lucrătorul despre riscurile împotriva cărora îl protejează purtarea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12) Angajatorul asigură instruirea lucrătorului și, dacă este cazul, organizează antrenamente pentru modul de purtare 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dreptul de a constitui sau de a adera la un sindicat; m¹) dreptul de a solicita trecerea pe un post vacant care îi asigură condiții de muncă mai favorabile dacă și-a încheiat perioada de probă și are o vechime de cel puțin 6 luni la același angajator;</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drepturi prevăzute de lege sau de contractele colective de muncă aplicabile.</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obligația de a respecta secretul de serviciu;</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obligații prevăzute de lege sau de contractele colective de muncă aplicabile.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să stabilească atribuțiile corespunzătoare fiecărui salariat, în condițiile legii;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constate săvârșirea abaterilor disciplinare și să aplice sancțiunile corespunzătoare, potrivit legii, contractului colectiv de muncă aplicabil și regulamentului intern;</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stabilească obiectivele de performanță individuală, precum și criteriile de evaluare a realizării acestora.</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Normal"/>
        <w:widowControl/>
        <w:numPr>
          <w:ilvl w:val="0"/>
          <w:numId w:val="32"/>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răspundă motivat, în scris, în termen de 30 de zile de la primirea solicitării salariatului, prevăzută la art. 39 alin. (1) lit. m¹).</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(1) Toate măsurile care se iau în domeniul securității și sănătății în muncă au la bază cel puțin o cerință legală, iar încălcarea acestor cerințe poate constitui contravenție, sancționată cu amendă, sau, atunci când creează un pericol iminent de producere a unui accident de muncă sau de îmbolnăvire profesională, infracțiune, pedepsită potrivit Codului penal cu închisoare de până la 3 ani sau cu amendă.</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care se pot lua pentru diminuarea sau înlăturarea pericolelor de accidentare sunt tehnice, organizatorice și igienico-sanitare. Neluarea sau nerespectarea acestor măsuri, atunci când creează un pericol iminent de producere a unui accident de muncă sau de îmbolnăvire profesională, constituie infracțiune potrivit Codului penal, care prevede următoarele: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Codul penal – Art. 349) Neluarea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Neluarea vreuneia dintre măsurile legale de securitate și sănătate în muncă de către persoana care avea îndatorirea de a lua aceste măsuri, dacă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Fapta prevăzută în alin. (1) săvârșită din culpă se pedepsește cu închisoare de la 3 luni la un an sau cu amendă.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Codul penal – Art. 350) Nerespectarea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Nerespectarea de către orice persoană a obligațiilor și a măsurilor stabilite cu privire la securitatea și sănătatea în muncă, dacă prin aceasta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Cu aceeași pedeapsă se sancționează repunerea în funcțiune a instalațiilor, mașinilor și utilajelor, anterior eliminării tuturor deficiențelor pentru care s-a luat măsura opririi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Faptele prevăzute în alin. (1) și alin. (2) săvârșite din culpă se pedepsesc cu închisoare de la 3 luni la un an sau cu amendă.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Răspunderea juridică pentru încălcarea legislației în domeniul securității și sănătății în muncă poate privi atât angajatorul, cât și lucrătorii și poate fi, după caz:</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disciplinară, pentru lucrătorii care încalcă regulile de securitate și sănătate în muncă, potrivit Codului muncii, regulamentului intern și contractului colectiv de muncă aplicabil;</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patrimonială, pentru pagubele produse, potrivit Codului muncii și legii civile;</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contravențională: contravențiile prevăzute de Legea 319/ 2006, Capitolul IX (art. 39 – 43), se sancționează cu amenzi cuprinse între 2.000 lei și 10.000 lei, care se aplică angajatorilor; constatarea contravențiilor și aplicarea amenzilor se fac de către inspectorii de muncă, iar pentru unele fapte și de către inspectorii sanitari;</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penală: infracțiunile prevăzute inițial de Legea 319/ 2006, Capitolul VIII (art. 37 – 38), au fost abrogate de Legea 187/ 2012 începând cu 1 februarie 2014, iar faptele respective sunt în prezent infracțiuni prevăzute de Codul penal, la art. 349 și 350, și se pedepsesc cu închisoare sau cu amendă.</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5">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6">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lvlOverride w:ilvl="0">
      <w:startOverride w:val="1"/>
    </w:lvlOverride>
    <w:lvlOverride w:ilvl="1">
      <w:startOverride w:val="1"/>
    </w:lvlOverride>
    <w:lvlOverride w:ilvl="2">
      <w:startOverride w:val="1"/>
    </w:lvlOverride>
  </w:num>
  <w:num w:numId="76">
    <w:abstractNumId w:val="75"/>
    <w:lvlOverride w:ilvl="0">
      <w:startOverride w:val="1"/>
    </w:lvlOverride>
    <w:lvlOverride w:ilvl="1">
      <w:startOverride w:val="1"/>
    </w:lvlOverride>
    <w:lvlOverride w:ilvl="2">
      <w:startOverride w:val="1"/>
    </w:lvlOverride>
  </w:num>
  <w:num w:numId="77">
    <w:abstractNumId w:val="75"/>
    <w:lvlOverride w:ilvl="0">
      <w:startOverride w:val="1"/>
    </w:lvlOverride>
    <w:lvlOverride w:ilvl="1">
      <w:startOverride w:val="1"/>
    </w:lvlOverride>
    <w:lvlOverride w:ilvl="2">
      <w:startOverride w:val="1"/>
    </w:lvlOverride>
  </w:num>
  <w:num w:numId="78">
    <w:abstractNumId w:val="76"/>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