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2.wmf" ContentType="image/x-wmf"/>
  <Override PartName="/word/media/image3.wmf" ContentType="image/x-wmf"/>
  <Override PartName="/word/media/image6.emf" ContentType="image/x-e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spacing w:before="0" w:after="240"/>
        <w:ind w:hanging="0"/>
        <w:jc w:val="center"/>
        <w:rPr>
          <w:rStyle w:val="tpt1"/>
          <w:rFonts w:ascii="Arial" w:hAnsi="Arial" w:cs="Arial"/>
          <w:b/>
          <w:lang w:val="it-IT"/>
        </w:rPr>
      </w:pPr>
      <w:r>
        <w:rPr>
          <w:rStyle w:val="tpt1"/>
          <w:rFonts w:eastAsia="Arial" w:cs="Arial" w:ascii="Arial" w:hAnsi="Arial"/>
          <w:b/>
          <w:color w:val="auto"/>
          <w:spacing w:val="0"/>
          <w:w w:val="100"/>
          <w:sz w:val="24"/>
          <w:szCs w:val="20"/>
          <w:lang w:val="ro-RO"/>
        </w:rPr>
        <w:t>MATERIAL DE INFORMARE A ANGAJATORULUI CU PRIVIRE LA PREVEDERILE LEGISLATIVE DIN DOMENIUL SECURITĂȚII ȘI SĂNĂTĂȚII ÎN MUNCĂ PENTRU {{client.legalName}}</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întocmit și predat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informat angajatorul</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{{provider.representativeName}}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{{provider.representativeRole}} al {{provider.legalName}}</w:t>
            </w:r>
          </w:p>
        </w:tc>
        <w:tc>
          <w:tcPr>
            <w:tcW w:w="4678" w:type="dxa"/>
            <w:tcBorders/>
          </w:tcPr>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primit un exemplar</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Am luat la cunoștință</w:t>
            </w:r>
          </w:p>
          <w:p>
            <w:pPr>
              <w:pStyle w:val="TableContents"/>
              <w:keepNext w:val="false"/>
              <w:spacing w:before="84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 al {{client.legalName}}</w:t>
            </w:r>
          </w:p>
        </w:tc>
      </w:tr>
      <w:tr>
        <w:trPr>
          <w:cantSplit/>
        </w:trPr>
        <w:tc>
          <w:tcPr>
            <w:tcW w:w="4677"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c>
          <w:tcPr>
            <w:tcW w:w="4678" w:type="dxa"/>
            <w:tcBorders/>
          </w:tcPr>
          <w:p>
            <w:pPr>
              <w:pStyle w:val="TableContents"/>
              <w:keepNext w:val="false"/>
              <w:spacing w:before="240" w:after="0"/>
              <w:ind w:hanging="0" w:left="0"/>
              <w:jc w:val="center"/>
              <w:rPr>
                <w:rFonts w:ascii="Arial" w:hAnsi="Arial" w:eastAsia="Arial" w:cs="Arial"/>
                <w:b w:val="false"/>
                <w:i w:val="false"/>
                <w:color w:val="auto"/>
                <w:sz w:val="20"/>
                <w:lang w:val="ro-RO"/>
              </w:rPr>
            </w:pPr>
            <w:r>
              <w:rPr>
                <w:rFonts w:eastAsia="Arial" w:cs="Arial" w:ascii="Arial" w:hAnsi="Arial"/>
                <w:color w:val="auto"/>
                <w:spacing w:val="0"/>
                <w:w w:val="100"/>
                <w:sz w:val="20"/>
                <w:szCs w:val="20"/>
                <w:lang w:val="ro-RO"/>
              </w:rPr>
              <w:t>Data: ____________________</w:t>
            </w:r>
          </w:p>
        </w:tc>
      </w:tr>
    </w:tbl>
    <w:p>
      <w:pPr>
        <w:pStyle w:val="Normal"/>
        <w:keepNext w:val="true"/>
        <w:widowControl/>
        <w:numPr>
          <w:ilvl w:val="0"/>
          <w:numId w:val="9"/>
        </w:numPr>
        <w:spacing w:before="120" w:after="120"/>
        <w:jc w:val="left"/>
        <w:rPr>
          <w:rFonts w:ascii="Arial" w:hAnsi="Arial" w:cs="Arial"/>
          <w:sz w:val="18"/>
          <w:szCs w:val="18"/>
          <w:lang w:val="de-DE"/>
        </w:rPr>
      </w:pPr>
      <w:r>
        <w:rPr>
          <w:rFonts w:eastAsia="Arial" w:cs="Arial" w:ascii="Arial" w:hAnsi="Arial"/>
          <w:color w:val="auto"/>
          <w:spacing w:val="0"/>
          <w:w w:val="100"/>
          <w:sz w:val="20"/>
          <w:szCs w:val="20"/>
          <w:lang w:val="ro-RO"/>
        </w:rPr>
        <w:t>Odată cu prezentul material informativ, s-au predat și următoarele documente:</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instruirea în domeniul securității și sănătății în muncă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Decizia / Dispoziția de constituire a echipei de evaluare a riscurilor de accidentare și/ sau îmbolnăvire profesională</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responsabilii cu acordarea primului ajutor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lucrătorii desemnați cu luarea măsurilor în caz de pericol grav și iminent</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Decizia / Dispoziția privind desemnarea reprezentanților lucrătorilor cu răspunderi specifice în domeniul securității și sănătății în muncă</w:t>
      </w:r>
    </w:p>
    <w:p>
      <w:pPr>
        <w:pStyle w:val="Normal"/>
        <w:widowControl/>
        <w:spacing w:before="0" w:after="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{{/workersRepresentativeDecision}}</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Registre de evidență a evenimentelor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Material de instruire în domeniul securității și sănătății în muncă pentru instruirea introductiv – generală (cod MISSMIG)</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Instrucțiuni proprii privind instruirea lucrătorilor în domeniul securității și sănătății în muncă (cod IPSSM)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Tematicile pentru toate fazele de instruire și programul de instruire – testare la nivelul unității, conform cu periodicitatea adecvat stabilită pentru fiecare loc de muncă / post de lucru (cod TISSM)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angajare în domeniul securității și sănătății în muncă (cod TASSM)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Test periodic în domeniul securității și sănătății în muncă (cod TPSSM)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Lista internă cu necesarul de dotare cu echipament individual de protecție (E.I.P.) a lucrătorilor (cod LN E.I.P.)</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Document justificativ de control, privind verificarea tematică la locurile de muncă, informare deficiențe constatate și propuneri de măsuri de prevenire și protecție (cod RSSM)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Regulament intern privind controlul propriu privind respectarea prevederilor legale, a dispozițiilor, instrucțiunilor și reglementărilor interne în domeniul securității și sănătății în muncă (cod M.I. SSM)</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 xml:space="preserve">Evaluarea riscurilor de accidentare și îmbolnăvire profesională pentru locurile de muncă (Descrierea metodei elaborate de I.N.C.D.P.M. București, utilizată de evaluator) (cod EVR)</w:t>
      </w:r>
    </w:p>
    <w:p>
      <w:pPr>
        <w:pStyle w:val="Normal"/>
        <w:widowControl/>
        <w:numPr>
          <w:ilvl w:val="0"/>
          <w:numId w:val="53"/>
        </w:numPr>
        <w:spacing w:before="0" w:after="40"/>
        <w:ind w:left="720" w:hanging="360"/>
        <w:jc w:val="left"/>
        <w:rPr>
          <w:rFonts w:ascii="Arial" w:hAnsi="Arial" w:cs="Arial"/>
          <w:sz w:val="20"/>
          <w:szCs w:val="20"/>
          <w:lang w:val="ro-RO"/>
        </w:rPr>
      </w:pPr>
      <w:r>
        <w:rPr>
          <w:rFonts w:eastAsia="Arial" w:cs="Arial" w:ascii="Arial" w:hAnsi="Arial"/>
          <w:color w:val="auto"/>
          <w:spacing w:val="0"/>
          <w:w w:val="100"/>
          <w:sz w:val="20"/>
          <w:szCs w:val="20"/>
          <w:lang w:val="ro-RO"/>
        </w:rPr>
        <w:t>Planul de prevenire și protecție întocmit în baza evaluării riscurilor (cod PPP)</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material informativ</w:t>
      </w:r>
      <w:r>
        <w:rPr>
          <w:rStyle w:val="tpt1"/>
          <w:rFonts w:eastAsia="Arial" w:cs="Arial" w:ascii="Arial" w:hAnsi="Arial"/>
          <w:b/>
          <w:color w:val="auto"/>
          <w:spacing w:val="0"/>
          <w:w w:val="100"/>
          <w:sz w:val="20"/>
          <w:szCs w:val="20"/>
          <w:lang w:val="ro-RO"/>
        </w:rPr>
        <w:t xml:space="preserve"> – {{client.legalName}}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I. Prevederi generale pentru angajator conform Legii 319/ 2006</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 Obligațiile angajatorului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III. Obligațiile și drepturile angajaților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IV. Organizarea activităților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 Organizarea activităților de prevenire și protecție pentru întreprinderile cu până la 9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 Organizarea activităților de prevenire și protecție pentru întreprinderile care au între 10 și 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IV.III. Organizarea activităților de prevenire și protecție pentru întreprinderile care au între 50 și 249 de lucrători inclusiv</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IV.IV. Organizarea activităților de prevenire și protecție în cazul întreprinderilor și/ sau unităților care au peste 250 de lucrători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 Desemnarea lucrătorilor pentru activitățile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 Lucrătorii desemnați</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 Servicii externe de prevenire și protecție</w:t>
      </w:r>
    </w:p>
    <w:p>
      <w:pPr>
        <w:pStyle w:val="Normal"/>
        <w:widowControl/>
        <w:spacing w:before="0" w:after="40"/>
        <w:ind w:left="360" w:hanging="0"/>
        <w:jc w:val="left"/>
        <w:rPr>
          <w:rFonts w:ascii="Arial" w:hAnsi="Arial" w:cs="Arial"/>
          <w:sz w:val="20"/>
          <w:szCs w:val="20"/>
          <w:lang w:val="ro-RO"/>
        </w:rPr>
      </w:pPr>
      <w:r>
        <w:rPr>
          <w:rFonts w:eastAsia="Arial" w:cs="Arial" w:ascii="Arial" w:hAnsi="Arial"/>
          <w:color w:val="auto"/>
          <w:spacing w:val="0"/>
          <w:w w:val="100"/>
          <w:sz w:val="20"/>
          <w:szCs w:val="20"/>
          <w:lang w:val="ro-RO"/>
        </w:rPr>
        <w:t>Subcapitolul IV.VIII. Reprezentanții lucrătorilor cu răspunderi specifice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 Informații privind instruirea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 Informații cu privire la comitetul de securitate și sănătate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 xml:space="preserve">Capitolul VII. Comunicarea, cercetarea, înregistrarea și raportarea evenimentelor, accidentelor de muncă și bolilor profesionale</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VIII. Evaluarea riscurilor de accidentare și/ sau îmbolnăvire profesională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IX. Informații privind necesarul, întocmirea și implementarea necesarului de documentații cu caracter tehnic de informare și instruire a lucrătorilor în domeniul securității și sănătății în muncă</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 Informații privind întocmirea fișei postului</w:t>
      </w:r>
    </w:p>
    <w:p>
      <w:pPr>
        <w:pStyle w:val="Normal"/>
        <w:widowControl/>
        <w:spacing w:before="0" w:after="40"/>
        <w:ind w:left="0" w:hanging="0"/>
        <w:jc w:val="left"/>
        <w:rPr>
          <w:rFonts w:ascii="Arial" w:hAnsi="Arial" w:cs="Arial"/>
          <w:sz w:val="20"/>
          <w:szCs w:val="20"/>
          <w:lang w:val="ro-RO"/>
        </w:rPr>
      </w:pPr>
      <w:r>
        <w:rPr>
          <w:rFonts w:eastAsia="Arial" w:cs="Arial" w:ascii="Arial" w:hAnsi="Arial"/>
          <w:color w:val="auto"/>
          <w:spacing w:val="0"/>
          <w:w w:val="100"/>
          <w:sz w:val="20"/>
          <w:szCs w:val="20"/>
          <w:lang w:val="ro-RO"/>
        </w:rPr>
        <w:t>Capitolul XI. Informații privind întocmirea regulamentului intern</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 Prevederi generale pentru angajator conform Legii 319/ 2006</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6, alin. 1, 2, 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de a asigura securitatea și sănătatea lucrătorilor în toate aspectele legate de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un angajator apelează la servicii externe, acesta nu este exonerat de responsabilitățile sale în acest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7, alin. 3) Angajatorul are obligația să implementeze măsurile prevăzute de Legea 319/ 2006 pe baza următoarelor principii generale de prevenire: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2"/>
          <w:numId w:val="9"/>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5) Fără a aduce atingere altor prevederi ale prezentei legi, atunci când în același loc de muncă își desfășoară activitatea lucrători din mai multe întreprinderi și/sau unități, angajatorii acestora au următoarele obligații:</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și/sau reprezentanții acestora despre riscurile profesionale.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(Legea 319/ 2006, Art. 7, alin. 6) Măsurile privind securitatea, sănătatea și igiena în muncă nu trebuie să comporte în nicio situație obligații financiare pentru lucrători.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2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2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49"/>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49"/>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49"/>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0"/>
          <w:numId w:val="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0"/>
          <w:numId w:val="6"/>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14"/>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14"/>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14"/>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0"/>
          <w:numId w:val="11"/>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0"/>
          <w:numId w:val="11"/>
        </w:numPr>
        <w:spacing w:before="0" w:after="120"/>
        <w:ind w:right="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0"/>
          <w:numId w:val="2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0"/>
          <w:numId w:val="2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0"/>
          <w:numId w:val="8"/>
        </w:numPr>
        <w:spacing w:before="0" w:after="40"/>
        <w:ind w:right="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țină evidența zonelor cu risc ridicat și specific prevăzute la art. 7, alin. (4), lit. e) din Legea 319/ 2006;</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desfășurarea proceselor tehnologice;</w:t>
      </w:r>
    </w:p>
    <w:p>
      <w:pPr>
        <w:pStyle w:val="Normal"/>
        <w:widowControl/>
        <w:numPr>
          <w:ilvl w:val="0"/>
          <w:numId w:val="8"/>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0"/>
          <w:numId w:val="8"/>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0"/>
          <w:numId w:val="8"/>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Activitățile de prevenire și protecție în cadrul întreprinderii și/ sau al unității sunt următoarele:</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3"/>
          <w:numId w:val="21"/>
        </w:numPr>
        <w:spacing w:before="0" w:after="40"/>
        <w:jc w:val="left"/>
        <w:rPr>
          <w:rFonts w:ascii="Arial" w:hAnsi="Arial" w:cs="Arial"/>
          <w:sz w:val="18"/>
          <w:szCs w:val="18"/>
          <w:lang w:val="ro-RO"/>
        </w:rPr>
      </w:pPr>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3"/>
          <w:numId w:val="21"/>
        </w:numPr>
        <w:spacing w:before="0" w:after="40"/>
        <w:jc w:val="left"/>
        <w:rPr>
          <w:rFonts w:ascii="Arial" w:hAnsi="Arial" w:cs="Arial"/>
          <w:sz w:val="18"/>
          <w:szCs w:val="18"/>
          <w:lang w:val="it-CH"/>
        </w:rPr>
      </w:pPr>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3"/>
          <w:numId w:val="21"/>
        </w:numPr>
        <w:spacing w:before="0" w:after="4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21"/>
        </w:numPr>
        <w:spacing w:before="0" w:after="40"/>
        <w:jc w:val="left"/>
        <w:rPr>
          <w:rFonts w:ascii="Arial" w:hAnsi="Arial" w:cs="Arial"/>
          <w:b/>
          <w:sz w:val="18"/>
          <w:szCs w:val="18"/>
          <w:lang w:val="pt-PT"/>
        </w:rPr>
      </w:pPr>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participarea la cercetarea evenimentelor;</w:t>
      </w:r>
    </w:p>
    <w:p>
      <w:pPr>
        <w:pStyle w:val="Normal"/>
        <w:widowControl/>
        <w:numPr>
          <w:ilvl w:val="3"/>
          <w:numId w:val="2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întocmirea evidențelor;</w:t>
      </w:r>
    </w:p>
    <w:p>
      <w:pPr>
        <w:pStyle w:val="Normal"/>
        <w:widowControl/>
        <w:numPr>
          <w:ilvl w:val="3"/>
          <w:numId w:val="21"/>
        </w:numPr>
        <w:spacing w:before="0" w:after="40"/>
        <w:jc w:val="left"/>
        <w:rPr>
          <w:rFonts w:ascii="Arial" w:hAnsi="Arial" w:cs="Arial"/>
          <w:sz w:val="18"/>
          <w:szCs w:val="18"/>
          <w:lang w:val="it-IT"/>
        </w:rPr>
      </w:pPr>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21"/>
        </w:numPr>
        <w:spacing w:before="0" w:after="40"/>
        <w:jc w:val="left"/>
        <w:rPr>
          <w:rFonts w:ascii="Arial" w:hAnsi="Arial" w:cs="Arial"/>
          <w:sz w:val="18"/>
          <w:szCs w:val="18"/>
          <w:lang w:val="pt-PT"/>
        </w:rPr>
      </w:pPr>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21"/>
        </w:numPr>
        <w:spacing w:before="0" w:after="40"/>
        <w:jc w:val="left"/>
        <w:rPr>
          <w:rStyle w:val="tpt1"/>
          <w:rFonts w:ascii="Arial" w:hAnsi="Arial" w:cs="Arial"/>
          <w:sz w:val="18"/>
          <w:szCs w:val="18"/>
          <w:lang w:val="es-ES_tradnl"/>
        </w:rPr>
      </w:pPr>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3"/>
          <w:numId w:val="2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21"/>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necesare/specifice asigurării securității și sănătății lucrătorilor la locul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0"/>
          <w:numId w:val="2"/>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0"/>
          <w:numId w:val="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IV. Organizarea activităților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14) </w:t>
      </w:r>
      <w:r>
        <w:rPr>
          <w:rStyle w:val="tpa1"/>
          <w:rFonts w:eastAsia="Arial" w:cs="Arial" w:ascii="Arial" w:hAnsi="Arial"/>
          <w:b/>
          <w:color w:val="auto"/>
          <w:spacing w:val="0"/>
          <w:w w:val="100"/>
          <w:sz w:val="20"/>
          <w:szCs w:val="20"/>
          <w:lang w:val="ro-RO"/>
        </w:rPr>
        <w:t>Organizarea activităților de prevenire și protecție este realizată de către angajator, în următoarele moduri:</w:t>
      </w:r>
    </w:p>
    <w:p>
      <w:pPr>
        <w:pStyle w:val="Normal"/>
        <w:widowControl/>
        <w:numPr>
          <w:ilvl w:val="2"/>
          <w:numId w:val="9"/>
        </w:numPr>
        <w:spacing w:before="0" w:after="40"/>
        <w:jc w:val="left"/>
        <w:rPr>
          <w:rFonts w:ascii="Arial" w:hAnsi="Arial" w:cs="Arial"/>
          <w:sz w:val="18"/>
          <w:szCs w:val="18"/>
          <w:lang w:val="ro-RO"/>
        </w:rPr>
      </w:pPr>
      <w:r>
        <w:rPr>
          <w:rStyle w:val="tli1"/>
          <w:rFonts w:eastAsia="Arial" w:cs="Arial" w:ascii="Arial" w:hAnsi="Arial"/>
          <w:color w:val="auto"/>
          <w:spacing w:val="0"/>
          <w:w w:val="100"/>
          <w:sz w:val="20"/>
          <w:szCs w:val="20"/>
          <w:lang w:val="ro-RO"/>
        </w:rPr>
        <w:t>prin asumarea de către angajator, în condițiile art. 9 alin. (4) din lege, a atribuțiilor pentru realizarea măsurilor prevăzute de lege;</w:t>
      </w:r>
    </w:p>
    <w:p>
      <w:pPr>
        <w:pStyle w:val="Normal"/>
        <w:widowControl/>
        <w:numPr>
          <w:ilvl w:val="2"/>
          <w:numId w:val="9"/>
        </w:numPr>
        <w:spacing w:before="0" w:after="40"/>
        <w:jc w:val="left"/>
        <w:rPr>
          <w:rFonts w:ascii="Arial" w:hAnsi="Arial" w:cs="Arial"/>
          <w:sz w:val="18"/>
          <w:szCs w:val="18"/>
          <w:lang w:val="fr-FR"/>
        </w:rPr>
      </w:pPr>
      <w:bookmarkStart w:id="0" w:name="do|caIII|si2|ar14|lid"/>
      <w:r>
        <w:rPr>
          <w:rStyle w:val="tli1"/>
          <w:rFonts w:eastAsia="Arial" w:cs="Arial" w:ascii="Arial" w:hAnsi="Arial"/>
          <w:color w:val="auto"/>
          <w:spacing w:val="0"/>
          <w:w w:val="100"/>
          <w:sz w:val="20"/>
          <w:szCs w:val="20"/>
          <w:lang w:val="ro-RO"/>
        </w:rPr>
        <w:t>prin desemnarea unuia sau mai multor lucrători pentru a se ocupa de activitățile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 xml:space="preserve">prin înființarea unuia sau mai multor servicii interne de prevenire și protecție;</w:t>
      </w:r>
    </w:p>
    <w:p>
      <w:pPr>
        <w:pStyle w:val="Normal"/>
        <w:widowControl/>
        <w:numPr>
          <w:ilvl w:val="2"/>
          <w:numId w:val="9"/>
        </w:numPr>
        <w:spacing w:before="0" w:after="120"/>
        <w:jc w:val="left"/>
        <w:rPr>
          <w:rFonts w:ascii="Arial" w:hAnsi="Arial" w:cs="Arial"/>
          <w:sz w:val="18"/>
          <w:szCs w:val="18"/>
          <w:lang w:val="fr-FR"/>
        </w:rPr>
      </w:pPr>
      <w:bookmarkEnd w:id="0"/>
      <w:r>
        <w:rPr>
          <w:rStyle w:val="tli1"/>
          <w:rFonts w:eastAsia="Arial" w:cs="Arial" w:ascii="Arial" w:hAnsi="Arial"/>
          <w:color w:val="auto"/>
          <w:spacing w:val="0"/>
          <w:w w:val="100"/>
          <w:sz w:val="20"/>
          <w:szCs w:val="20"/>
          <w:lang w:val="ro-RO"/>
        </w:rPr>
        <w:t>prin apelarea la servicii externe de prevenire și protecție.</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(Legea 319/ 2006, Art. 9)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Ministerul Muncii, Solidarității Sociale și Familiei stabilește prin norme metodologice de aplicare a prevederilor prezentei legi capacitățile și aptitudinile necesare, precum și numărul considerat suficient, prevăzute la alin. (1) și (4).</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 Organizarea activităților de prevenire și protecție pentru </w:t>
      </w:r>
      <w:r>
        <w:rPr>
          <w:rStyle w:val="tal1"/>
          <w:rFonts w:eastAsia="Arial" w:cs="Arial" w:ascii="Arial" w:hAnsi="Arial"/>
          <w:b/>
          <w:bCs/>
          <w:color w:val="auto"/>
          <w:spacing w:val="0"/>
          <w:w w:val="100"/>
          <w:sz w:val="20"/>
          <w:szCs w:val="20"/>
          <w:lang w:val="ro-RO"/>
        </w:rPr>
        <w:t>întreprinderile cu până la 9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16)</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cu până la 9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activitățile desfășurate în cadrul întreprinderii nu sunt dintre cele prevăzute în anexa nr. 5 din H.G. 1425/ 2006;</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angajatorul își desfășoară activitatea profesională în mod efectiv și cu regularitate în întreprindere și/sau unitate;</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angajatorul a urmat cel puțin un program de pregătire în domeniul securității și sănătății în muncă, cu o durată minimă de 40 de ore și conținutul prevăzut în anexa nr. 6 lit. A din H.G. 1425/ 2006, fapt care se atestă printr-un document de absolvire a programului de pregătire.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situația în care nu sunt îndeplinite condițiile prevăzute la alin. (1) de mai sus, angajatorul trebuie să desemneze unul sau mai mulți lucrători ori poate organiza serviciul intern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din H.G. 1425/ 2006,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10 și 49 de lucrători inclusiv</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17)</w:t>
      </w:r>
      <w:r>
        <w:rPr>
          <w:rFonts w:eastAsia="Arial" w:cs="Arial" w:ascii="Arial" w:hAnsi="Arial"/>
          <w:color w:val="auto"/>
          <w:spacing w:val="0"/>
          <w:w w:val="100"/>
          <w:sz w:val="20"/>
          <w:szCs w:val="20"/>
          <w:lang w:val="ro-RO"/>
        </w:rPr>
        <w:t xml:space="preserve"> </w:t>
      </w:r>
      <w:bookmarkStart w:id="1" w:name="do|caIII|si2|ar1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întreprinderilor care au între 10 și 49 de lucrători inclusiv, angajatorul poate efectua activitățile din domeniul securității și sănătății în muncă, dacă se îndeplinesc cumulativ următoarele condiții: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 xml:space="preserve">sunt respectate prevederile art. 16 alin. </w:t>
      </w:r>
      <w:r>
        <w:rPr>
          <w:rStyle w:val="tli1"/>
          <w:rFonts w:eastAsia="Arial" w:cs="Arial" w:ascii="Arial" w:hAnsi="Arial"/>
          <w:bCs/>
          <w:color w:val="auto"/>
          <w:spacing w:val="0"/>
          <w:w w:val="100"/>
          <w:sz w:val="20"/>
          <w:szCs w:val="20"/>
          <w:lang w:val="ro-RO"/>
        </w:rPr>
        <w:t>(1) lit. a) - c);</w:t>
      </w:r>
    </w:p>
    <w:p>
      <w:pPr>
        <w:pStyle w:val="Normal"/>
        <w:widowControl/>
        <w:numPr>
          <w:ilvl w:val="2"/>
          <w:numId w:val="9"/>
        </w:numPr>
        <w:spacing w:before="0" w:after="12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riscurile identificate nu pot genera accidente sau boli profesionale cu consecințe grave, ireversibile, respectiv deces ori invaliditate.</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situația în care nu sunt îndeplinite condițiile prevăzute la alin. (1), angajatorul trebuie să desemneze unul sau mai mulți lucrători ori poate organiza unul sau mai multe servicii interne de prevenire și protecție și/sau poate să apeleze la servicii externe, în condițiile prezentelor norme metodologice.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cazul în care angajatorul/lucrătorii desemnați/serviciile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IV.III. Organizarea activităților de prevenire și protecție pentru </w:t>
      </w:r>
      <w:r>
        <w:rPr>
          <w:rStyle w:val="tal1"/>
          <w:rFonts w:eastAsia="Arial" w:cs="Arial" w:ascii="Arial" w:hAnsi="Arial"/>
          <w:b/>
          <w:bCs/>
          <w:color w:val="auto"/>
          <w:spacing w:val="0"/>
          <w:w w:val="100"/>
          <w:sz w:val="20"/>
          <w:szCs w:val="20"/>
          <w:lang w:val="ro-RO"/>
        </w:rPr>
        <w:t>întreprinderile care au între 50 și 249 de lucrători inclusiv</w:t>
      </w:r>
    </w:p>
    <w:p>
      <w:pPr>
        <w:pStyle w:val="Normal"/>
        <w:widowControl/>
        <w:numPr>
          <w:ilvl w:val="0"/>
          <w:numId w:val="9"/>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1425/ 2006 – Art. 18)</w:t>
      </w:r>
      <w:r>
        <w:rPr>
          <w:rFonts w:eastAsia="Arial" w:cs="Arial" w:ascii="Arial" w:hAnsi="Arial"/>
          <w:color w:val="auto"/>
          <w:spacing w:val="0"/>
          <w:w w:val="100"/>
          <w:sz w:val="20"/>
          <w:szCs w:val="20"/>
          <w:lang w:val="ro-RO"/>
        </w:rPr>
        <w:t xml:space="preserve"> </w:t>
      </w:r>
      <w:bookmarkStart w:id="2" w:name="do|caIII|si2|ar19|al1"/>
      <w:bookmarkEnd w:id="1"/>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și/sau unităților care au între 50 și 249 de lucrători, angajatorul trebuie să desemneze unul sau mai mulți lucrători ori să organizeze unul sau mai multe servicii interne de prevenire și protecție pentru a se ocupa de activitățile de prevenire și protecție din cadrul întreprinderii.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 cazul întreprinderilor și/sau unităților prevăzute la alin. (1) care desfășoară activități dintre cele prevăzute în anexa nr. 5 </w:t>
      </w:r>
      <w:r>
        <w:rPr>
          <w:rStyle w:val="tli1"/>
          <w:rFonts w:eastAsia="Arial" w:cs="Arial" w:ascii="Arial" w:hAnsi="Arial"/>
          <w:bCs/>
          <w:color w:val="auto"/>
          <w:spacing w:val="0"/>
          <w:w w:val="100"/>
          <w:sz w:val="20"/>
          <w:szCs w:val="20"/>
          <w:lang w:val="ro-RO"/>
        </w:rPr>
        <w:t>din H.G. 1425/ 2006</w:t>
      </w:r>
      <w:r>
        <w:rPr>
          <w:rStyle w:val="tal1"/>
          <w:rFonts w:eastAsia="Arial" w:cs="Arial" w:ascii="Arial" w:hAnsi="Arial"/>
          <w:bCs/>
          <w:color w:val="auto"/>
          <w:spacing w:val="0"/>
          <w:w w:val="100"/>
          <w:sz w:val="20"/>
          <w:szCs w:val="20"/>
          <w:lang w:val="ro-RO"/>
        </w:rPr>
        <w:t>, angajatorul trebuie să organizeze unul sau mai multe servicii interne de prevenire și protecție.</w:t>
      </w:r>
    </w:p>
    <w:p>
      <w:pPr>
        <w:pStyle w:val="Normal"/>
        <w:widowControl/>
        <w:spacing w:before="0" w:after="120"/>
        <w:ind w:hanging="0"/>
        <w:jc w:val="left"/>
        <w:rPr>
          <w:rFonts w:ascii="Arial" w:hAnsi="Arial" w:cs="Arial"/>
          <w:i/>
          <w:sz w:val="18"/>
          <w:szCs w:val="18"/>
          <w:lang w:val="de-DE"/>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În cazul în care lucrătorii desemnați, serviciile interne de prevenire și protecție nu au capacitățile și aptitudinile necesare pentru efectuarea tuturor activităților de prevenire și protecție prevăzute la art. 15, angajatorul trebuie să apeleze la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IV.IV. Organizarea activităților de prevenire și protecție </w:t>
      </w:r>
      <w:r>
        <w:rPr>
          <w:rStyle w:val="tal1"/>
          <w:rFonts w:eastAsia="Arial" w:cs="Arial" w:ascii="Arial" w:hAnsi="Arial"/>
          <w:b/>
          <w:bCs/>
          <w:color w:val="auto"/>
          <w:spacing w:val="0"/>
          <w:w w:val="100"/>
          <w:sz w:val="20"/>
          <w:szCs w:val="20"/>
          <w:lang w:val="ro-RO"/>
        </w:rPr>
        <w:t>în cazul întreprinderilor și/ sau unităților care au peste 250 de lucrători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19)</w:t>
      </w:r>
      <w:r>
        <w:rPr>
          <w:rFonts w:eastAsia="Arial" w:cs="Arial" w:ascii="Arial" w:hAnsi="Arial"/>
          <w:color w:val="auto"/>
          <w:spacing w:val="0"/>
          <w:w w:val="100"/>
          <w:sz w:val="20"/>
          <w:szCs w:val="20"/>
          <w:lang w:val="ro-RO"/>
        </w:rPr>
        <w:t xml:space="preserve"> </w:t>
      </w:r>
      <w:bookmarkEnd w:id="2"/>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În cazul întreprinderilor și/ sau unităților care au peste 250 de lucrători, angajatorul trebuie să organizeze unul sau mai multe servicii interne de prevenire și protecție.</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În cazul în care serviciile interne de prevenire și protecție nu au capacitățile și aptitudinile necesare pentru efectuarea tuturor activităților de prevenire și protecție prevăzute la art. 15, angajatorul trebuie să apeleze la unul sau mai multe servicii externe pentru acele activități de prevenire și protecție pe care nu le poate desfășura cu personalul propriu.</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 Desemnarea lucrătorilor pentru activitățile de prevenire și protecție</w:t>
      </w:r>
      <w:r>
        <w:rPr>
          <w:rStyle w:val="tal1"/>
          <w:rFonts w:eastAsia="Arial" w:cs="Arial" w:ascii="Arial" w:hAnsi="Arial"/>
          <w:b/>
          <w:bCs/>
          <w:color w:val="auto"/>
          <w:spacing w:val="0"/>
          <w:w w:val="100"/>
          <w:sz w:val="20"/>
          <w:szCs w:val="20"/>
          <w:lang w:val="ro-RO"/>
        </w:rPr>
        <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Lucrători desemnați – Art. 20)</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Desemnarea nominală a lucrătorului/ lucrătorilor pentru a se ocupa de activitățile de prevenire și protecție se face prin decizie scrisă a angajatorului.</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Angajatorul va desemna lucrătorul numai din rândul lucrătorilor cu care are încheiat contract individual de muncă cu normă întreagă.</w:t>
      </w:r>
    </w:p>
    <w:p>
      <w:pPr>
        <w:pStyle w:val="Normal"/>
        <w:widowControl/>
        <w:spacing w:before="0" w:after="120"/>
        <w:ind w:hanging="0"/>
        <w:jc w:val="left"/>
        <w:rPr>
          <w:rStyle w:val="tal1"/>
          <w:rFonts w:ascii="Arial" w:hAnsi="Arial" w:cs="Arial"/>
          <w:bCs/>
          <w:sz w:val="18"/>
          <w:szCs w:val="18"/>
          <w:lang w:val="fr-FR"/>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bCs/>
          <w:color w:val="auto"/>
          <w:spacing w:val="0"/>
          <w:w w:val="100"/>
          <w:sz w:val="20"/>
          <w:szCs w:val="20"/>
          <w:lang w:val="ro-RO"/>
        </w:rPr>
        <w:t xml:space="preserve">Angajatorul va consemna în fișa postului activitățile de prevenire și protecție pe care lucrătorul desemnat are capacitatea, timpul necesar și mijloacele adecvate să le efectueze.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 Lucrătorii desemnați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21)</w:t>
      </w:r>
      <w:r>
        <w:rPr>
          <w:rStyle w:val="tal1"/>
          <w:rFonts w:eastAsia="Arial" w:cs="Arial" w:ascii="Arial" w:hAnsi="Arial"/>
          <w:color w:val="auto"/>
          <w:spacing w:val="0"/>
          <w:w w:val="100"/>
          <w:sz w:val="20"/>
          <w:szCs w:val="20"/>
          <w:lang w:val="ro-RO"/>
        </w:rPr>
        <w:t xml:space="preserve"> </w:t>
      </w:r>
      <w:bookmarkStart w:id="3" w:name="do|caIII|si3|ar21|pa1"/>
      <w:bookmarkEnd w:id="3"/>
      <w:r>
        <w:rPr>
          <w:rStyle w:val="tpa1"/>
          <w:rFonts w:eastAsia="Arial" w:cs="Arial" w:ascii="Arial" w:hAnsi="Arial"/>
          <w:bCs/>
          <w:color w:val="auto"/>
          <w:spacing w:val="0"/>
          <w:w w:val="100"/>
          <w:sz w:val="20"/>
          <w:szCs w:val="20"/>
          <w:lang w:val="ro-RO"/>
        </w:rPr>
        <w:t>Pentru a putea să desfășoare activitățile de prevenire și protecție, lucrătorul desemnat trebuie să îndeplinească cel puțin cerințele minime de pregătire în domeniul securității și sănătății în muncă, potrivit prevederilor art. 49, sau prevederile Art. 51</w:t>
      </w:r>
      <w:r>
        <w:rPr>
          <w:rStyle w:val="tpa1"/>
          <w:rFonts w:eastAsia="Arial" w:cs="Arial" w:ascii="Arial" w:hAnsi="Arial"/>
          <w:bCs/>
          <w:color w:val="auto"/>
          <w:spacing w:val="0"/>
          <w:w w:val="100"/>
          <w:sz w:val="20"/>
          <w:szCs w:val="20"/>
          <w:vertAlign w:val="superscript"/>
          <w:lang w:val="ro-RO"/>
        </w:rPr>
        <w:t>1</w:t>
      </w:r>
      <w:r>
        <w:rPr>
          <w:rStyle w:val="tpa1"/>
          <w:rFonts w:eastAsia="Arial" w:cs="Arial" w:ascii="Arial" w:hAnsi="Arial"/>
          <w:bCs/>
          <w:color w:val="auto"/>
          <w:spacing w:val="0"/>
          <w:w w:val="100"/>
          <w:sz w:val="20"/>
          <w:szCs w:val="20"/>
          <w:lang w:val="ro-RO"/>
        </w:rPr>
        <w:t xml:space="preserve"> lit. a) H.G. 1425/ 2006.</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22)</w:t>
      </w:r>
      <w:r>
        <w:rPr>
          <w:rStyle w:val="tal1"/>
          <w:rFonts w:eastAsia="Arial" w:cs="Arial" w:ascii="Arial" w:hAnsi="Arial"/>
          <w:color w:val="auto"/>
          <w:spacing w:val="0"/>
          <w:w w:val="100"/>
          <w:sz w:val="20"/>
          <w:szCs w:val="20"/>
          <w:lang w:val="ro-RO"/>
        </w:rPr>
        <w:t xml:space="preserve"> </w:t>
      </w:r>
      <w:bookmarkStart w:id="4" w:name="do|caIII|si3|ar22|al1"/>
      <w:bookmarkEnd w:id="4"/>
      <w:r>
        <w:rPr>
          <w:rStyle w:val="al1"/>
          <w:rFonts w:eastAsia="Arial" w:cs="Arial" w:ascii="Arial" w:hAnsi="Arial"/>
          <w:color w:val="auto"/>
          <w:spacing w:val="0"/>
          <w:w w:val="100"/>
          <w:sz w:val="20"/>
          <w:szCs w:val="20"/>
          <w:lang w:val="ro-RO"/>
        </w:rPr>
        <w:t xml:space="preserve">(1) </w:t>
      </w:r>
      <w:r>
        <w:rPr>
          <w:rStyle w:val="tal1"/>
          <w:rFonts w:eastAsia="Arial" w:cs="Arial" w:ascii="Arial" w:hAnsi="Arial"/>
          <w:color w:val="auto"/>
          <w:spacing w:val="0"/>
          <w:w w:val="100"/>
          <w:sz w:val="20"/>
          <w:szCs w:val="20"/>
          <w:lang w:val="ro-RO"/>
        </w:rPr>
        <w:t>Angajatorul va stabili numărul de lucrători desemnați în funcție de mărimea întreprinderii și/ sau unității și/ sau riscurile la care sunt expuși lucrătorii, precum și de distribuția acestora în cadrul întreprinderii și/ sau unității.</w:t>
      </w:r>
    </w:p>
    <w:p>
      <w:pPr>
        <w:pStyle w:val="Normal"/>
        <w:widowControl/>
        <w:spacing w:before="0" w:after="120"/>
        <w:ind w:hanging="0"/>
        <w:jc w:val="left"/>
        <w:rPr>
          <w:rStyle w:val="tal1"/>
          <w:rFonts w:ascii="Arial" w:hAnsi="Arial" w:cs="Arial"/>
          <w:sz w:val="18"/>
          <w:szCs w:val="18"/>
          <w:lang w:val="it-IT"/>
        </w:rPr>
      </w:pPr>
      <w:bookmarkStart w:id="5" w:name="do|caIII|si3|ar22|al2"/>
      <w:bookmarkEnd w:id="5"/>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Angajatorul trebuie să asigure mijloacele adecvate și timpul necesar pentru ca lucrătorii desemnați să poată desfășura activitățile de prevenire și protecție conform fișei postului.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Subcapitolul IV.VII. Servicii externe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28)</w:t>
      </w:r>
      <w:r>
        <w:rPr>
          <w:rStyle w:val="tal1"/>
          <w:rFonts w:eastAsia="Arial" w:cs="Arial" w:ascii="Arial" w:hAnsi="Arial"/>
          <w:color w:val="auto"/>
          <w:spacing w:val="0"/>
          <w:w w:val="100"/>
          <w:sz w:val="20"/>
          <w:szCs w:val="20"/>
          <w:lang w:val="ro-RO"/>
        </w:rPr>
        <w:t xml:space="preserve"> </w:t>
      </w:r>
      <w:bookmarkStart w:id="6" w:name="do|caIII|si5|ar28|pa1"/>
      <w:bookmarkEnd w:id="6"/>
      <w:r>
        <w:rPr>
          <w:rStyle w:val="tpa1"/>
          <w:rFonts w:eastAsia="Arial" w:cs="Arial" w:ascii="Arial" w:hAnsi="Arial"/>
          <w:color w:val="auto"/>
          <w:spacing w:val="0"/>
          <w:w w:val="100"/>
          <w:sz w:val="20"/>
          <w:szCs w:val="20"/>
          <w:lang w:val="ro-RO"/>
        </w:rPr>
        <w:t>Serviciul extern de prevenire și protecție asigură, pe bază de contract, activitățile de prevenire și protecție în domeniu.</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30)</w:t>
      </w:r>
      <w:r>
        <w:rPr>
          <w:rStyle w:val="tal1"/>
          <w:rFonts w:eastAsia="Arial" w:cs="Arial" w:ascii="Arial" w:hAnsi="Arial"/>
          <w:color w:val="auto"/>
          <w:spacing w:val="0"/>
          <w:w w:val="100"/>
          <w:sz w:val="20"/>
          <w:szCs w:val="20"/>
          <w:lang w:val="ro-RO"/>
        </w:rPr>
        <w:t xml:space="preserve"> </w:t>
      </w:r>
      <w:bookmarkStart w:id="7" w:name="do|caIII|si5|ar30|pa1"/>
      <w:bookmarkEnd w:id="7"/>
      <w:r>
        <w:rPr>
          <w:rStyle w:val="tpa1"/>
          <w:rFonts w:eastAsia="Arial" w:cs="Arial" w:ascii="Arial" w:hAnsi="Arial"/>
          <w:color w:val="auto"/>
          <w:spacing w:val="0"/>
          <w:w w:val="100"/>
          <w:sz w:val="20"/>
          <w:szCs w:val="20"/>
          <w:lang w:val="ro-RO"/>
        </w:rPr>
        <w:t>Serviciul extern trebuie să aibă acces la toate informațiile necesare desfășurării activității de prevenire și protecție.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33)</w:t>
      </w:r>
      <w:r>
        <w:rPr>
          <w:rStyle w:val="tal1"/>
          <w:rFonts w:eastAsia="Arial" w:cs="Arial" w:ascii="Arial" w:hAnsi="Arial"/>
          <w:color w:val="auto"/>
          <w:spacing w:val="0"/>
          <w:w w:val="100"/>
          <w:sz w:val="20"/>
          <w:szCs w:val="20"/>
          <w:lang w:val="ro-RO"/>
        </w:rPr>
        <w:t xml:space="preserve"> </w:t>
      </w:r>
      <w:bookmarkStart w:id="8" w:name="do|caIII|si5|ar33|pa1"/>
      <w:bookmarkEnd w:id="8"/>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Contractul încheiat între angajator și serviciul extern de prevenire și protecție trebuie să cuprindă și următoarele: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activitățile de prevenire și protecție care vor fi desfășurate de către fiecare serviciu extern de prevenire și protecție;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modul de colaborare cu lucrătorii desemnați/serviciile interne și/sau cu alte servicii externe de prevenire și protecție;</w:t>
      </w:r>
    </w:p>
    <w:p>
      <w:pPr>
        <w:pStyle w:val="Normal"/>
        <w:widowControl/>
        <w:numPr>
          <w:ilvl w:val="2"/>
          <w:numId w:val="9"/>
        </w:numPr>
        <w:spacing w:before="0" w:after="120"/>
        <w:jc w:val="left"/>
        <w:rPr>
          <w:rStyle w:val="tli1"/>
          <w:rFonts w:ascii="Arial" w:hAnsi="Arial" w:cs="Arial"/>
          <w:bCs/>
          <w:sz w:val="18"/>
          <w:szCs w:val="18"/>
          <w:lang w:val="fr-FR"/>
        </w:rPr>
      </w:pPr>
      <w:r>
        <w:rPr>
          <w:rStyle w:val="tli1"/>
          <w:rFonts w:eastAsia="Arial" w:cs="Arial" w:ascii="Arial" w:hAnsi="Arial"/>
          <w:bCs/>
          <w:color w:val="auto"/>
          <w:spacing w:val="0"/>
          <w:w w:val="100"/>
          <w:sz w:val="20"/>
          <w:szCs w:val="20"/>
          <w:lang w:val="ro-RO"/>
        </w:rPr>
        <w:t xml:space="preserve">clauze privind soluționarea litigiilor apărute între părți.</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Subcapitolul IV.VIII. </w:t>
      </w:r>
      <w:r>
        <w:rPr>
          <w:rStyle w:val="tpa1"/>
          <w:rFonts w:eastAsia="Arial" w:cs="Arial" w:ascii="Arial" w:hAnsi="Arial"/>
          <w:b/>
          <w:color w:val="auto"/>
          <w:spacing w:val="0"/>
          <w:w w:val="100"/>
          <w:sz w:val="20"/>
          <w:szCs w:val="20"/>
          <w:lang w:val="ro-RO"/>
        </w:rPr>
        <w:t>Reprezentanții lucrătorilor cu răspunderi specifice</w:t>
      </w:r>
    </w:p>
    <w:p>
      <w:pPr>
        <w:pStyle w:val="Normal"/>
        <w:widowControl/>
        <w:numPr>
          <w:ilvl w:val="0"/>
          <w:numId w:val="9"/>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1425/ 2006, Art. 52)</w:t>
      </w:r>
      <w:r>
        <w:rPr>
          <w:rStyle w:val="tal1"/>
          <w:rFonts w:eastAsia="Arial" w:cs="Arial" w:ascii="Arial" w:hAnsi="Arial"/>
          <w:color w:val="auto"/>
          <w:spacing w:val="0"/>
          <w:w w:val="100"/>
          <w:sz w:val="20"/>
          <w:szCs w:val="20"/>
          <w:lang w:val="ro-RO"/>
        </w:rPr>
        <w:t xml:space="preserve"> </w:t>
      </w:r>
      <w:bookmarkStart w:id="9" w:name="do|caIII|si9|ar52|pa1"/>
      <w:bookmarkEnd w:id="9"/>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d)</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reprezentant al lucrătorilor cu răspunderi specifice în domeniul securității și sănătății lucrătorilor are următorul înțeles: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53)</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un reprezentant, în cazul întreprinderilor și/sau unităților care au între 10 și 49 de lucrători inclusiv;</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2 reprezentanți, în cazul întreprinderilor și/sau unităților care au între 50 și 100 de lucrători inclusiv;</w:t>
      </w:r>
    </w:p>
    <w:p>
      <w:pPr>
        <w:pStyle w:val="Normal"/>
        <w:widowControl/>
        <w:numPr>
          <w:ilvl w:val="2"/>
          <w:numId w:val="9"/>
        </w:numPr>
        <w:spacing w:before="0" w:after="120"/>
        <w:jc w:val="left"/>
        <w:rPr>
          <w:rFonts w:ascii="Arial" w:hAnsi="Arial" w:cs="Arial"/>
          <w:sz w:val="18"/>
          <w:szCs w:val="18"/>
          <w:lang w:val="de-DE"/>
        </w:rPr>
      </w:pPr>
      <w:r>
        <w:rPr>
          <w:rStyle w:val="tli1"/>
          <w:rFonts w:eastAsia="Arial" w:cs="Arial" w:ascii="Arial" w:hAnsi="Arial"/>
          <w:bCs/>
          <w:color w:val="auto"/>
          <w:spacing w:val="0"/>
          <w:w w:val="100"/>
          <w:sz w:val="20"/>
          <w:szCs w:val="20"/>
          <w:lang w:val="ro-RO"/>
        </w:rPr>
        <w:t xml:space="preserve">conform cerințelor prevăzute la art. 60 alin. (3) din </w:t>
      </w:r>
      <w:r>
        <w:rPr>
          <w:rStyle w:val="tpa1"/>
          <w:rFonts w:eastAsia="Arial" w:cs="Arial" w:ascii="Arial" w:hAnsi="Arial"/>
          <w:bCs/>
          <w:color w:val="auto"/>
          <w:spacing w:val="0"/>
          <w:w w:val="100"/>
          <w:sz w:val="20"/>
          <w:szCs w:val="20"/>
          <w:lang w:val="ro-RO"/>
        </w:rPr>
        <w:t>H.G. 1425/ 2006</w:t>
      </w:r>
      <w:r>
        <w:rPr>
          <w:rStyle w:val="tli1"/>
          <w:rFonts w:eastAsia="Arial" w:cs="Arial" w:ascii="Arial" w:hAnsi="Arial"/>
          <w:bCs/>
          <w:color w:val="auto"/>
          <w:spacing w:val="0"/>
          <w:w w:val="100"/>
          <w:sz w:val="20"/>
          <w:szCs w:val="20"/>
          <w:lang w:val="ro-RO"/>
        </w:rPr>
        <w:t>, în cazul întreprinderilor și/ sau unităților care au peste 101 lucrători inclusiv.</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54)</w:t>
      </w:r>
      <w:r>
        <w:rPr>
          <w:rStyle w:val="tal1"/>
          <w:rFonts w:eastAsia="Arial" w:cs="Arial" w:ascii="Arial" w:hAnsi="Arial"/>
          <w:color w:val="auto"/>
          <w:spacing w:val="0"/>
          <w:w w:val="100"/>
          <w:sz w:val="20"/>
          <w:szCs w:val="20"/>
          <w:lang w:val="ro-RO"/>
        </w:rPr>
        <w:t xml:space="preserve"> </w:t>
      </w:r>
      <w:bookmarkStart w:id="10" w:name="do|caIII|si9|ar54|pa1"/>
      <w:bookmarkEnd w:id="10"/>
      <w:r>
        <w:rPr>
          <w:rStyle w:val="tpa1"/>
          <w:rFonts w:eastAsia="Arial" w:cs="Arial" w:ascii="Arial" w:hAnsi="Arial"/>
          <w:color w:val="auto"/>
          <w:spacing w:val="0"/>
          <w:w w:val="100"/>
          <w:sz w:val="20"/>
          <w:szCs w:val="20"/>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55)</w:t>
      </w:r>
      <w:r>
        <w:rPr>
          <w:rStyle w:val="tal1"/>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tal1"/>
          <w:rFonts w:eastAsia="Arial" w:cs="Arial" w:ascii="Arial" w:hAnsi="Arial"/>
          <w:bCs/>
          <w:color w:val="auto"/>
          <w:spacing w:val="0"/>
          <w:w w:val="100"/>
          <w:sz w:val="20"/>
          <w:szCs w:val="20"/>
          <w:lang w:val="ro-RO"/>
        </w:rPr>
        <w:t xml:space="preserve">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anexa nr. 6 lit. A</w:t>
      </w:r>
      <w:r>
        <w:rPr>
          <w:rStyle w:val="tli1"/>
          <w:rFonts w:eastAsia="Arial" w:cs="Arial" w:ascii="Arial" w:hAnsi="Arial"/>
          <w:bCs/>
          <w:color w:val="auto"/>
          <w:spacing w:val="0"/>
          <w:w w:val="100"/>
          <w:sz w:val="20"/>
          <w:szCs w:val="20"/>
          <w:lang w:val="ro-RO"/>
        </w:rPr>
        <w:t xml:space="preserve"> din H.G. 1425/ 2006</w:t>
      </w:r>
      <w:r>
        <w:rPr>
          <w:rStyle w:val="tal1"/>
          <w:rFonts w:eastAsia="Arial" w:cs="Arial" w:ascii="Arial" w:hAnsi="Arial"/>
          <w:bCs/>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 xml:space="preserve">Îndeplinirea cerinței prevăzute la alin. (1) se atestă printr-un document de absolvire a programului de pregătire.</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Capitolul V. Informații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instrucțiunile proprii privind instruirea lucrătorilor</w:t>
      </w:r>
      <w:r>
        <w:rPr>
          <w:rStyle w:val="tpt1"/>
          <w:rFonts w:eastAsia="Arial" w:cs="Arial" w:ascii="Arial" w:hAnsi="Arial"/>
          <w:b/>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4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4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Dovada instruirii prevăzută la art. 20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 Art. 75)</w:t>
      </w:r>
      <w:bookmarkStart w:id="11" w:name="do|caV|si1|ar75|pa1"/>
      <w:r>
        <w:rPr>
          <w:rFonts w:eastAsia="Arial" w:cs="Arial" w:ascii="Arial" w:hAnsi="Arial"/>
          <w:b w:val="false"/>
          <w:i/>
          <w:color w:val="auto"/>
          <w:spacing w:val="0"/>
          <w:w w:val="100"/>
          <w:sz w:val="20"/>
          <w:szCs w:val="20"/>
          <w:lang w:val="ro-RO"/>
        </w:rPr>
        <w:t xml:space="preserve"> </w:t>
      </w:r>
      <w:bookmarkEnd w:id="11"/>
      <w:r>
        <w:rPr>
          <w:rStyle w:val="tpa1"/>
          <w:rFonts w:eastAsia="Arial" w:cs="Arial" w:ascii="Arial" w:hAnsi="Arial"/>
          <w:b/>
          <w:color w:val="auto"/>
          <w:spacing w:val="0"/>
          <w:w w:val="100"/>
          <w:sz w:val="20"/>
          <w:szCs w:val="20"/>
          <w:lang w:val="ro-RO"/>
        </w:rPr>
        <w:t>Instruirea lucrătorilor în domeniul securității și sănătății în muncă are ca scop însușirea cunoștințelor și formarea deprinderilor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Instruirea lucrătorilor în domeniul securității și sănătății în muncă cuprinde 3 faze:</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introductiv-generală;</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la locul de muncă;</w:t>
      </w:r>
    </w:p>
    <w:p>
      <w:pPr>
        <w:pStyle w:val="Normal"/>
        <w:widowControl/>
        <w:numPr>
          <w:ilvl w:val="2"/>
          <w:numId w:val="9"/>
        </w:numPr>
        <w:spacing w:before="0" w:after="120"/>
        <w:jc w:val="left"/>
        <w:rPr>
          <w:rFonts w:ascii="Arial" w:hAnsi="Arial" w:cs="Arial"/>
          <w:sz w:val="18"/>
          <w:szCs w:val="18"/>
          <w:lang w:val="es-ES"/>
        </w:rPr>
      </w:pPr>
      <w:r>
        <w:rPr>
          <w:rStyle w:val="tli1"/>
          <w:rFonts w:eastAsia="Arial" w:cs="Arial" w:ascii="Arial" w:hAnsi="Arial"/>
          <w:color w:val="auto"/>
          <w:spacing w:val="0"/>
          <w:w w:val="100"/>
          <w:sz w:val="20"/>
          <w:szCs w:val="20"/>
          <w:lang w:val="ro-RO"/>
        </w:rPr>
        <w:t>instruirea periodică.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R</w:t>
      </w:r>
      <w:r>
        <w:rPr>
          <w:rStyle w:val="tal1"/>
          <w:rFonts w:eastAsia="Arial" w:cs="Arial" w:ascii="Arial" w:hAnsi="Arial"/>
          <w:b/>
          <w:color w:val="auto"/>
          <w:spacing w:val="0"/>
          <w:w w:val="100"/>
          <w:sz w:val="20"/>
          <w:szCs w:val="20"/>
          <w:lang w:val="ro-RO"/>
        </w:rPr>
        <w:t xml:space="preserve">ezultatul instruirii lucrătorilor în domeniul securității și sănătății în muncă se consemnează în mod obligatoriu în fișa de instruire individuală, întocmită pe suport hârtie sau în format electronic, conform informațiilor prevăzute în anexa nr. 11, cu indicarea materialului predat, a duratei și datei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1</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2</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(3</w:t>
      </w:r>
      <w:r>
        <w:rPr>
          <w:rStyle w:val="al1"/>
          <w:rFonts w:eastAsia="Arial" w:cs="Arial" w:ascii="Arial" w:hAnsi="Arial"/>
          <w:color w:val="auto"/>
          <w:spacing w:val="0"/>
          <w:w w:val="100"/>
          <w:sz w:val="20"/>
          <w:szCs w:val="20"/>
          <w:vertAlign w:val="superscript"/>
          <w:lang w:val="ro-RO"/>
        </w:rPr>
        <w:t xml:space="preserve">3</w:t>
      </w:r>
      <w:r>
        <w:rPr>
          <w:rStyle w:val="al1"/>
          <w:rFonts w:eastAsia="Arial" w:cs="Arial" w:ascii="Arial" w:hAnsi="Arial"/>
          <w:color w:val="auto"/>
          <w:spacing w:val="0"/>
          <w:w w:val="100"/>
          <w:sz w:val="20"/>
          <w:szCs w:val="20"/>
          <w:lang w:val="ro-RO"/>
        </w:rPr>
        <w:t xml:space="preserve">)</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al1"/>
          <w:rFonts w:eastAsia="Arial" w:cs="Arial" w:ascii="Arial" w:hAnsi="Arial"/>
          <w:color w:val="auto"/>
          <w:spacing w:val="0"/>
          <w:w w:val="100"/>
          <w:sz w:val="20"/>
          <w:szCs w:val="20"/>
          <w:lang w:val="ro-RO"/>
        </w:rPr>
        <w:t xml:space="preserve">(5)</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se păstrează în întreprindere/unitate, pe suport hârtie sau în format electronic, după caz, de la angajare până la data încetării raporturilor de muncă.</w:t>
      </w:r>
    </w:p>
    <w:p>
      <w:pPr>
        <w:pStyle w:val="Heading1"/>
        <w:keepNext/>
        <w:widowControl/>
        <w:numPr>
          <w:ilvl w:val="0"/>
          <w:numId w:val="9"/>
        </w:numPr>
        <w:spacing w:before="120" w:after="60"/>
        <w:jc w:val="left"/>
        <w:rPr>
          <w:rStyle w:val="tli1"/>
          <w:b/>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introductiv-generală se face de către specialiștii în domeniul securității și sănătății în muncă din cadrul </w:t>
      </w:r>
      <w:r>
        <w:rPr>
          <w:rStyle w:val="tli1"/>
          <w:rFonts w:eastAsia="Arial" w:cs="Arial" w:ascii="Arial" w:hAnsi="Arial"/>
          <w:b/>
          <w:color w:val="auto"/>
          <w:spacing w:val="0"/>
          <w:w w:val="100"/>
          <w:sz w:val="20"/>
          <w:szCs w:val="20"/>
          <w:lang w:val="ro-RO"/>
        </w:rPr>
        <w:t>serviciului extern de prevenire și protecție, activitate desfășurată prin contractul de prestări servicii sau dacă este posibil, și de către persoanele desemnate în acest sens prin decizie internă și prin fișa postului.</w:t>
      </w:r>
    </w:p>
    <w:p>
      <w:pPr>
        <w:pStyle w:val="Heading1"/>
        <w:keepNext/>
        <w:widowControl/>
        <w:numPr>
          <w:ilvl w:val="0"/>
          <w:numId w:val="9"/>
        </w:numPr>
        <w:spacing w:before="120" w:after="60"/>
        <w:jc w:val="left"/>
        <w:rPr>
          <w:rStyle w:val="tal1"/>
          <w:b/>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pa1"/>
          <w:rFonts w:eastAsia="Arial" w:cs="Arial" w:ascii="Arial" w:hAnsi="Arial"/>
          <w:b/>
          <w:color w:val="auto"/>
          <w:spacing w:val="0"/>
          <w:w w:val="100"/>
          <w:sz w:val="20"/>
          <w:szCs w:val="20"/>
          <w:lang w:val="ro-RO"/>
        </w:rPr>
        <w:t>nstruirea introductiv-generală se face individual sau în grupuri de cel mult 20 de persoane.</w:t>
      </w:r>
    </w:p>
    <w:p>
      <w:pPr>
        <w:pStyle w:val="Heading1"/>
        <w:keepNext w:val="false"/>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Heading1"/>
        <w:widowControl/>
        <w:numPr>
          <w:ilvl w:val="0"/>
          <w:numId w:val="1"/>
        </w:numPr>
        <w:spacing w:before="0" w:after="120"/>
        <w:ind w:hanging="0" w:left="0"/>
        <w:jc w:val="left"/>
        <w:rPr>
          <w:rStyle w:val="tal1"/>
          <w:rFonts w:cs="Arial"/>
          <w:b/>
          <w:sz w:val="18"/>
          <w:szCs w:val="18"/>
          <w:lang w:val="ro-RO"/>
        </w:rPr>
      </w:pPr>
      <w:r>
        <w:rPr>
          <w:rFonts w:eastAsia="Arial" w:cs="Arial" w:ascii="Arial" w:hAnsi="Arial"/>
          <w:b w:val="false"/>
          <w:i/>
          <w:color w:val="auto"/>
          <w:spacing w:val="0"/>
          <w:w w:val="100"/>
          <w:sz w:val="20"/>
          <w:szCs w:val="20"/>
          <w:shd w:fill="FFFFFF" w:val="clear"/>
          <w:lang w:val="ro-RO"/>
        </w:rPr>
        <w:t>(Preluare din H.G. 767/ 2016)</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lang w:val="ro-RO"/>
        </w:rPr>
        <w:t>La articolul 87, alineatul (3) se modifică și va avea următorul cuprins:</w:t>
      </w:r>
      <w:r>
        <w:rPr>
          <w:rFonts w:eastAsia="Arial" w:cs="Arial" w:ascii="Arial" w:hAnsi="Arial"/>
          <w:b w:val="false"/>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keepNext w:val="false"/>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introductiv-generală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are denumirea de « Material de instruire în domeniul securității și sănătății în muncă pentru instruirea introductiv – generală », fiind codificat MISSMIG.</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12" w:name="do|caV|si3|ar91|al1"/>
      <w:bookmarkEnd w:id="12"/>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Style w:val="spar"/>
          <w:rFonts w:eastAsia="Arial" w:cs="Arial" w:ascii="Arial" w:hAnsi="Arial"/>
          <w:b/>
          <w:color w:val="auto"/>
          <w:spacing w:val="0"/>
          <w:w w:val="100"/>
          <w:sz w:val="20"/>
          <w:szCs w:val="20"/>
          <w:shd w:fill="FFFFFF" w:val="clear"/>
          <w:lang w:val="ro-RO"/>
        </w:rPr>
        <w:t>urata instruirii la locul de muncă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keepNext/>
        <w:widowControl/>
        <w:numPr>
          <w:ilvl w:val="0"/>
          <w:numId w:val="9"/>
        </w:numPr>
        <w:spacing w:before="120" w:after="60"/>
        <w:jc w:val="left"/>
        <w:rPr>
          <w:b w:val="false"/>
          <w:sz w:val="18"/>
          <w:szCs w:val="18"/>
          <w:lang w:val="ro-RO"/>
        </w:rPr>
      </w:pPr>
      <w:r>
        <w:rPr>
          <w:rStyle w:val="tal1"/>
          <w:rFonts w:eastAsia="Arial" w:cs="Arial" w:ascii="Arial" w:hAnsi="Arial"/>
          <w:b/>
          <w:color w:val="auto"/>
          <w:spacing w:val="0"/>
          <w:w w:val="100"/>
          <w:sz w:val="20"/>
          <w:szCs w:val="20"/>
          <w:lang w:val="ro-RO"/>
        </w:rPr>
        <w:t xml:space="preserve">Materialul pentru instruirea la locul de muncă este întocmit de către serviciul extern de prevenire și protecție și aprobat de către angajator </w:t>
      </w:r>
      <w:r>
        <w:rPr>
          <w:rFonts w:eastAsia="Arial" w:cs="Arial" w:ascii="Arial" w:hAnsi="Arial"/>
          <w:b w:val="false"/>
          <w:color w:val="auto"/>
          <w:spacing w:val="0"/>
          <w:w w:val="100"/>
          <w:sz w:val="20"/>
          <w:szCs w:val="20"/>
          <w:lang w:val="ro-RO"/>
        </w:rPr>
        <w:t xml:space="preserve">și poartă denumirea de « </w:t>
      </w:r>
      <w:r>
        <w:rPr>
          <w:rStyle w:val="tpt1"/>
          <w:rFonts w:eastAsia="Arial" w:cs="Arial" w:ascii="Arial" w:hAnsi="Arial"/>
          <w:b/>
          <w:color w:val="auto"/>
          <w:spacing w:val="0"/>
          <w:w w:val="100"/>
          <w:sz w:val="20"/>
          <w:szCs w:val="20"/>
          <w:lang w:val="ro-RO"/>
        </w:rPr>
        <w:t>Instrucțiuni proprii în domeniul securității și sănătății în muncă pentru locurile de muncă</w:t>
      </w:r>
      <w:r>
        <w:rPr>
          <w:rFonts w:eastAsia="Arial" w:cs="Arial" w:ascii="Arial" w:hAnsi="Arial"/>
          <w:b w:val="false"/>
          <w:color w:val="auto"/>
          <w:spacing w:val="0"/>
          <w:w w:val="100"/>
          <w:sz w:val="20"/>
          <w:szCs w:val="20"/>
          <w:lang w:val="ro-RO"/>
        </w:rPr>
        <w:t xml:space="preserve"> », fiind codificat IPSSM.</w:t>
      </w:r>
    </w:p>
    <w:p>
      <w:pPr>
        <w:pStyle w:val="Heading1"/>
        <w:keepNext w:val="false"/>
        <w:widowControl/>
        <w:numPr>
          <w:ilvl w:val="0"/>
          <w:numId w:val="9"/>
        </w:numPr>
        <w:spacing w:before="120" w:after="60"/>
        <w:jc w:val="left"/>
        <w:rPr>
          <w:rStyle w:val="tal1"/>
          <w:b/>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Fonts w:eastAsia="Arial" w:cs="Arial" w:ascii="Arial" w:hAnsi="Arial"/>
          <w:b w:val="false"/>
          <w:color w:val="auto"/>
          <w:spacing w:val="0"/>
          <w:w w:val="100"/>
          <w:sz w:val="20"/>
          <w:szCs w:val="20"/>
          <w:lang w:val="ro-RO"/>
        </w:rPr>
        <w:t>I</w:t>
      </w:r>
      <w:r>
        <w:rPr>
          <w:rStyle w:val="tal1"/>
          <w:rFonts w:eastAsia="Arial" w:cs="Arial" w:ascii="Arial" w:hAnsi="Arial"/>
          <w:b/>
          <w:color w:val="auto"/>
          <w:spacing w:val="0"/>
          <w:w w:val="100"/>
          <w:sz w:val="20"/>
          <w:szCs w:val="20"/>
          <w:lang w:val="ro-RO"/>
        </w:rPr>
        <w:t>nstruirea periodică se efectuează de către conducătorul locului de muncă.</w:t>
      </w:r>
    </w:p>
    <w:p>
      <w:pPr>
        <w:pStyle w:val="Heading1"/>
        <w:widowControl/>
        <w:numPr>
          <w:ilvl w:val="0"/>
          <w:numId w:val="1"/>
        </w:numPr>
        <w:spacing w:before="0" w:after="120"/>
        <w:ind w:hanging="0" w:left="0"/>
        <w:jc w:val="left"/>
        <w:rPr>
          <w:rStyle w:val="tal1"/>
          <w:b/>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I</w:t>
      </w:r>
      <w:r>
        <w:rPr>
          <w:rFonts w:eastAsia="Arial" w:cs="Arial" w:ascii="Arial" w:hAnsi="Arial"/>
          <w:b w:val="false"/>
          <w:color w:val="auto"/>
          <w:spacing w:val="0"/>
          <w:w w:val="100"/>
          <w:sz w:val="20"/>
          <w:szCs w:val="20"/>
          <w:shd w:fill="FFFFFF" w:val="clear"/>
          <w:lang w:val="ro-RO"/>
        </w:rPr>
        <w:t>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9"/>
        </w:numPr>
        <w:spacing w:before="120" w:after="60"/>
        <w:jc w:val="left"/>
        <w:rPr>
          <w:b w:val="false"/>
          <w:i/>
          <w:sz w:val="18"/>
          <w:szCs w:val="18"/>
          <w:lang w:val="ro-RO"/>
        </w:rPr>
      </w:pPr>
      <w:r>
        <w:rPr>
          <w:rStyle w:val="tal1"/>
          <w:rFonts w:eastAsia="Arial" w:cs="Arial" w:ascii="Arial" w:hAnsi="Arial"/>
          <w:b/>
          <w:color w:val="auto"/>
          <w:spacing w:val="0"/>
          <w:w w:val="100"/>
          <w:sz w:val="20"/>
          <w:szCs w:val="20"/>
          <w:lang w:val="ro-RO"/>
        </w:rPr>
        <w:t>Instruirea la locul de muncă se va efectua pe baza tematicilor întocmite de către serviciul extern de prevenire și protecție și aprobate de către angajator, care vor fi păstrate la persoana care efectuează instruirea.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nstruirea periodică se face suplimentar celei programate în următoarele cazuri:</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2"/>
          <w:numId w:val="9"/>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2"/>
          <w:numId w:val="9"/>
        </w:numPr>
        <w:spacing w:before="0" w:after="40"/>
        <w:jc w:val="left"/>
        <w:rPr>
          <w:rFonts w:ascii="Arial" w:hAnsi="Arial" w:cs="Arial"/>
          <w:sz w:val="18"/>
          <w:szCs w:val="18"/>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2"/>
          <w:numId w:val="9"/>
        </w:numPr>
        <w:spacing w:before="0" w:after="40"/>
        <w:jc w:val="left"/>
        <w:rPr>
          <w:rFonts w:ascii="Arial" w:hAnsi="Arial" w:cs="Arial"/>
          <w:sz w:val="18"/>
          <w:szCs w:val="18"/>
          <w:lang w:val="es-ES"/>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2"/>
          <w:numId w:val="9"/>
        </w:numPr>
        <w:spacing w:before="0" w:after="120"/>
        <w:jc w:val="left"/>
        <w:rPr>
          <w:rFonts w:ascii="Arial" w:hAnsi="Arial" w:cs="Arial"/>
          <w:sz w:val="18"/>
          <w:szCs w:val="18"/>
          <w:lang w:val="it-IT"/>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9"/>
        </w:numPr>
        <w:spacing w:before="120" w:after="60"/>
        <w:jc w:val="left"/>
        <w:rPr>
          <w:rStyle w:val="spar"/>
          <w:b/>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D</w:t>
      </w:r>
      <w:r>
        <w:rPr>
          <w:rStyle w:val="spar"/>
          <w:rFonts w:eastAsia="Arial" w:cs="Arial" w:ascii="Arial" w:hAnsi="Arial"/>
          <w:b/>
          <w:color w:val="auto"/>
          <w:spacing w:val="0"/>
          <w:w w:val="100"/>
          <w:sz w:val="20"/>
          <w:szCs w:val="20"/>
          <w:shd w:fill="FFFFFF" w:val="clear"/>
          <w:lang w:val="ro-RO"/>
        </w:rPr>
        <w:t>urata instruirii periodice prevăzute la art. 98 se stabilește de către angajator, împreună cu: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conducătorul locului de muncă respectiv;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lucrătorul desemnat;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intern de prevenire și protecție; sau</w:t>
      </w:r>
    </w:p>
    <w:p>
      <w:pPr>
        <w:pStyle w:val="Normal"/>
        <w:widowControl/>
        <w:numPr>
          <w:ilvl w:val="2"/>
          <w:numId w:val="9"/>
        </w:numPr>
        <w:spacing w:before="0" w:after="40"/>
        <w:jc w:val="left"/>
        <w:rPr>
          <w:rFonts w:ascii="Arial" w:hAnsi="Arial" w:cs="Arial"/>
          <w:sz w:val="18"/>
          <w:szCs w:val="18"/>
          <w:lang w:val="it-IT"/>
        </w:rPr>
      </w:pPr>
      <w:r>
        <w:rPr>
          <w:rStyle w:val="slitbdy"/>
          <w:rFonts w:eastAsia="Arial" w:cs="Arial" w:ascii="Arial" w:hAnsi="Arial"/>
          <w:color w:val="auto"/>
          <w:spacing w:val="0"/>
          <w:w w:val="100"/>
          <w:sz w:val="20"/>
          <w:szCs w:val="20"/>
          <w:lang w:val="ro-RO"/>
        </w:rPr>
        <w:t>serviciul extern de prevenire și protecție.</w:t>
      </w:r>
    </w:p>
    <w:p>
      <w:pPr>
        <w:pStyle w:val="Heading1"/>
        <w:widowControl/>
        <w:numPr>
          <w:ilvl w:val="0"/>
          <w:numId w:val="9"/>
        </w:numPr>
        <w:spacing w:before="120" w:after="60"/>
        <w:jc w:val="left"/>
        <w:rPr>
          <w:rStyle w:val="tpa1"/>
          <w:b/>
          <w:sz w:val="18"/>
          <w:szCs w:val="18"/>
          <w:lang w:val="ro-RO"/>
        </w:rPr>
      </w:pPr>
      <w:r>
        <w:rPr>
          <w:rFonts w:eastAsia="Arial" w:cs="Arial" w:ascii="Arial" w:hAnsi="Arial"/>
          <w:b w:val="false"/>
          <w:i/>
          <w:color w:val="auto"/>
          <w:spacing w:val="0"/>
          <w:w w:val="100"/>
          <w:sz w:val="20"/>
          <w:szCs w:val="20"/>
          <w:lang w:val="ro-RO"/>
        </w:rPr>
        <w:t>(Preluare din H.G. 1425/ 2006, Art. 100)</w:t>
      </w:r>
      <w:r>
        <w:rPr>
          <w:rFonts w:eastAsia="Arial" w:cs="Arial" w:ascii="Arial" w:hAnsi="Arial"/>
          <w:b w:val="false"/>
          <w:color w:val="auto"/>
          <w:spacing w:val="0"/>
          <w:w w:val="100"/>
          <w:sz w:val="20"/>
          <w:szCs w:val="20"/>
          <w:lang w:val="ro-RO"/>
        </w:rPr>
        <w:t xml:space="preserve"> I</w:t>
      </w:r>
      <w:r>
        <w:rPr>
          <w:rStyle w:val="tpa1"/>
          <w:rFonts w:eastAsia="Arial" w:cs="Arial" w:ascii="Arial" w:hAnsi="Arial"/>
          <w:b/>
          <w:color w:val="auto"/>
          <w:spacing w:val="0"/>
          <w:w w:val="100"/>
          <w:sz w:val="20"/>
          <w:szCs w:val="20"/>
          <w:lang w:val="ro-RO"/>
        </w:rPr>
        <w:t xml:space="preserve">nstruirea periodică suplimentară se va efectua pe baza tematicilor </w:t>
      </w:r>
      <w:r>
        <w:rPr>
          <w:rStyle w:val="tal1"/>
          <w:rFonts w:eastAsia="Arial" w:cs="Arial" w:ascii="Arial" w:hAnsi="Arial"/>
          <w:b/>
          <w:color w:val="auto"/>
          <w:spacing w:val="0"/>
          <w:w w:val="100"/>
          <w:sz w:val="20"/>
          <w:szCs w:val="20"/>
          <w:lang w:val="ro-RO"/>
        </w:rPr>
        <w:t>întocmite de către serviciul extern de prevenire și protecție și aprobate de către angajator</w:t>
      </w:r>
      <w:r>
        <w:rPr>
          <w:rStyle w:val="tpa1"/>
          <w:rFonts w:eastAsia="Arial" w:cs="Arial" w:ascii="Arial" w:hAnsi="Arial"/>
          <w:b/>
          <w:color w:val="auto"/>
          <w:spacing w:val="0"/>
          <w:w w:val="100"/>
          <w:sz w:val="20"/>
          <w:szCs w:val="20"/>
          <w:lang w:val="ro-RO"/>
        </w:rPr>
        <w:t xml:space="preserve"> care vor fi păstrate la persoana care efectuează instruirea.</w:t>
      </w:r>
    </w:p>
    <w:p>
      <w:pPr>
        <w:pStyle w:val="Heading1"/>
        <w:widowControl/>
        <w:numPr>
          <w:ilvl w:val="0"/>
          <w:numId w:val="9"/>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TISSM.</w:t>
      </w:r>
    </w:p>
    <w:p>
      <w:pPr>
        <w:pStyle w:val="Normal"/>
        <w:widowControl/>
        <w:numPr>
          <w:ilvl w:val="0"/>
          <w:numId w:val="9"/>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MISSMIG și IPSSM.</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Capitolul VI. Informații cu privire la comitetul de securitate și sănătate în muncă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57)</w:t>
      </w:r>
      <w:r>
        <w:rPr>
          <w:rFonts w:eastAsia="Arial" w:cs="Arial" w:ascii="Arial" w:hAnsi="Arial"/>
          <w:b w:val="false"/>
          <w:color w:val="auto"/>
          <w:spacing w:val="0"/>
          <w:w w:val="100"/>
          <w:sz w:val="20"/>
          <w:szCs w:val="20"/>
          <w:lang w:val="ro-RO"/>
        </w:rPr>
        <w:t xml:space="preserve"> </w:t>
      </w:r>
      <w:r>
        <w:rPr>
          <w:rStyle w:val="al1"/>
          <w:rFonts w:eastAsia="Arial" w:cs="Arial" w:ascii="Arial" w:hAnsi="Arial"/>
          <w:b w:val="false"/>
          <w:bCs/>
          <w:color w:val="auto"/>
          <w:spacing w:val="0"/>
          <w:w w:val="100"/>
          <w:sz w:val="20"/>
          <w:szCs w:val="20"/>
          <w:lang w:val="ro-RO"/>
        </w:rPr>
        <w:t>(1)</w:t>
      </w:r>
      <w:r>
        <w:rPr>
          <w:rStyle w:val="al1"/>
          <w:rFonts w:eastAsia="Arial" w:cs="Arial" w:ascii="Arial" w:hAnsi="Arial"/>
          <w:b/>
          <w:bCs/>
          <w:color w:val="auto"/>
          <w:spacing w:val="0"/>
          <w:w w:val="100"/>
          <w:sz w:val="20"/>
          <w:szCs w:val="20"/>
          <w:lang w:val="ro-RO"/>
        </w:rPr>
        <w:t xml:space="preserve"> </w:t>
      </w:r>
      <w:r>
        <w:rPr>
          <w:rStyle w:val="tal1"/>
          <w:rFonts w:eastAsia="Arial" w:cs="Arial" w:ascii="Arial" w:hAnsi="Arial"/>
          <w:b/>
          <w:color w:val="auto"/>
          <w:spacing w:val="0"/>
          <w:w w:val="100"/>
          <w:sz w:val="20"/>
          <w:szCs w:val="20"/>
          <w:lang w:val="ro-RO"/>
        </w:rPr>
        <w:t>Comitetul de securitate și sănătate în muncă se constituie în unitățile care au un număr de cel puțin 50 de lucrători, inclusiv cu capital străin, care desfășoară activități pe teritoriul României.</w:t>
      </w:r>
    </w:p>
    <w:p>
      <w:pPr>
        <w:pStyle w:val="Normal"/>
        <w:widowControl/>
        <w:spacing w:before="0" w:after="120"/>
        <w:ind w:hanging="0"/>
        <w:jc w:val="left"/>
        <w:rPr>
          <w:rFonts w:ascii="Arial" w:hAnsi="Arial" w:cs="Arial"/>
          <w:sz w:val="18"/>
          <w:szCs w:val="18"/>
          <w:lang w:val="fr-FR"/>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Inspectorul de muncă poate impune constituirea comitetului de securitate și sănătate în muncă în unitățile cu un număr mai mic de 50 de lucrători în funcție de natura activității și de riscurile identificate.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cazul în care activitatea se desfășoară în unități dispersate teritorial, se pot înființa mai multe comitete de securitate și sănătate în muncă; numărul acestora se stabilește prin contractul colectiv de muncă aplicabil sau prin regulamentul intern ori regulamentul de organizare și funcționare.</w:t>
      </w:r>
    </w:p>
    <w:p>
      <w:pPr>
        <w:pStyle w:val="Normal"/>
        <w:widowControl/>
        <w:spacing w:before="0" w:after="120"/>
        <w:ind w:hanging="0"/>
        <w:jc w:val="left"/>
        <w:rPr>
          <w:rFonts w:ascii="Arial" w:hAnsi="Arial" w:cs="Arial"/>
          <w:sz w:val="18"/>
          <w:szCs w:val="18"/>
          <w:lang w:val="fr-FR"/>
        </w:rPr>
      </w:pPr>
      <w:r>
        <w:rPr>
          <w:rFonts w:eastAsia="Arial" w:cs="Arial" w:ascii="Arial" w:hAnsi="Arial"/>
          <w:b/>
          <w:bCs/>
          <w:color w:val="auto"/>
          <w:spacing w:val="0"/>
          <w:w w:val="100"/>
          <w:sz w:val="20"/>
          <w:szCs w:val="20"/>
          <w:lang w:val="ro-RO"/>
        </w:rPr>
        <w:t>(</w:t>
      </w:r>
      <w:r>
        <w:rPr>
          <w:rStyle w:val="al1"/>
          <w:rFonts w:eastAsia="Arial" w:cs="Arial" w:ascii="Arial" w:hAnsi="Arial"/>
          <w:color w:val="auto"/>
          <w:spacing w:val="0"/>
          <w:w w:val="100"/>
          <w:sz w:val="20"/>
          <w:szCs w:val="20"/>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Comitetul de securitate și sănătate în muncă se constituie și în cazul activităților care se desfășoară temporar, respectiv cu o durată mai mare de 3 luni.</w:t>
      </w:r>
    </w:p>
    <w:p>
      <w:pPr>
        <w:pStyle w:val="Normal"/>
        <w:widowControl/>
        <w:spacing w:before="0" w:after="120"/>
        <w:ind w:hanging="0"/>
        <w:jc w:val="left"/>
        <w:rPr>
          <w:rFonts w:ascii="Verdana" w:hAnsi="Verdana" w:cs="Verdana"/>
          <w:lang w:val="fr-FR"/>
        </w:rPr>
      </w:pPr>
      <w:r>
        <w:rPr>
          <w:rStyle w:val="al1"/>
          <w:rFonts w:eastAsia="Arial" w:cs="Arial" w:ascii="Arial" w:hAnsi="Arial"/>
          <w:color w:val="auto"/>
          <w:spacing w:val="0"/>
          <w:w w:val="100"/>
          <w:sz w:val="20"/>
          <w:szCs w:val="20"/>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 unitățile care au mai puțin de 50 de lucrători, unde nu s-a constituit comitet de securitate și sănătate în muncă, atribuțiile acestuia revin reprezentanților lucrătorilor cu răspunderi specifice în domeniul securității și sănătății lucrătorilor.</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Art. 65)</w:t>
      </w:r>
      <w:r>
        <w:rPr>
          <w:rFonts w:eastAsia="Arial" w:cs="Arial" w:ascii="Arial" w:hAnsi="Arial"/>
          <w:b w:val="false"/>
          <w:color w:val="auto"/>
          <w:spacing w:val="0"/>
          <w:w w:val="100"/>
          <w:sz w:val="20"/>
          <w:szCs w:val="20"/>
          <w:lang w:val="ro-RO"/>
        </w:rPr>
        <w:t xml:space="preserve"> </w:t>
      </w:r>
      <w:r>
        <w:rPr>
          <w:rStyle w:val="tpa1"/>
          <w:rFonts w:eastAsia="Arial" w:cs="Arial" w:ascii="Arial" w:hAnsi="Arial"/>
          <w:b/>
          <w:color w:val="auto"/>
          <w:spacing w:val="0"/>
          <w:w w:val="100"/>
          <w:sz w:val="20"/>
          <w:szCs w:val="20"/>
          <w:lang w:val="ro-RO"/>
        </w:rPr>
        <w:t>Comitetul de securitate și sănătate în muncă funcționează în baza regulamentului de funcționare propriu.</w:t>
      </w:r>
    </w:p>
    <w:p>
      <w:pPr>
        <w:pStyle w:val="Heading2"/>
        <w:keepNext w:val="true"/>
        <w:widowControl/>
        <w:numPr>
          <w:ilvl w:val="1"/>
          <w:numId w:val="1"/>
        </w:numPr>
        <w:tabs>
          <w:tab w:val="clear" w:pos="504"/>
        </w:tabs>
        <w:spacing w:before="240" w:after="120"/>
        <w:ind w:hanging="0" w:left="0" w:right="0"/>
        <w:jc w:val="center"/>
        <w:rPr>
          <w:rFonts w:ascii="Arial" w:hAnsi="Arial" w:cs="Arial"/>
          <w:sz w:val="18"/>
          <w:szCs w:val="18"/>
          <w:lang w:val="it-CH"/>
        </w:rPr>
      </w:pPr>
      <w:r>
        <w:rPr>
          <w:rFonts w:eastAsia="Arial" w:cs="Arial" w:ascii="Arial" w:hAnsi="Arial"/>
          <w:b/>
          <w:color w:val="auto"/>
          <w:spacing w:val="0"/>
          <w:w w:val="100"/>
          <w:sz w:val="20"/>
          <w:szCs w:val="20"/>
          <w:lang w:val="ro-RO"/>
        </w:rPr>
        <w:t xml:space="preserve">Capitolul VII. Comunicarea, cercetarea, înregistrarea și raportarea evenimentelor, accidentelor de muncă și bolilor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0"/>
          <w:numId w:val="22"/>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0"/>
          <w:numId w:val="2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Art. 5, lit. g)</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sensul Legii 319/ 2006, termenul de </w:t>
      </w:r>
      <w:r>
        <w:rPr>
          <w:rFonts w:eastAsia="Arial" w:cs="Arial" w:ascii="Arial" w:hAnsi="Arial"/>
          <w:i/>
          <w:color w:val="auto"/>
          <w:spacing w:val="0"/>
          <w:w w:val="100"/>
          <w:sz w:val="20"/>
          <w:szCs w:val="20"/>
          <w:lang w:val="ro-RO"/>
        </w:rPr>
        <w:t xml:space="preserve">accident de muncă </w:t>
      </w:r>
      <w:r>
        <w:rPr>
          <w:rFonts w:eastAsia="Arial" w:cs="Arial" w:ascii="Arial" w:hAnsi="Arial"/>
          <w:color w:val="auto"/>
          <w:spacing w:val="0"/>
          <w:w w:val="100"/>
          <w:sz w:val="20"/>
          <w:szCs w:val="20"/>
          <w:lang w:val="ro-RO"/>
        </w:rPr>
        <w:t xml:space="preserve">are următorul înțeles: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Art. 5, lit. h) În sensul Legii 319/ 2006, termenul de boală profesională</w:t>
      </w:r>
      <w:r>
        <w:rPr>
          <w:rStyle w:val="tal1"/>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are următorul înțeles: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va fi comunicat de îndată angajatorului, de către conducătorul locului de muncă sau de orice altă persoană care are cunoștință despre producerea acestuia.</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0"/>
          <w:numId w:val="38"/>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0"/>
          <w:numId w:val="38"/>
        </w:numPr>
        <w:spacing w:before="0" w:after="120"/>
        <w:ind w:right="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9"/>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0"/>
          <w:numId w:val="3"/>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0"/>
          <w:numId w:val="3"/>
        </w:numPr>
        <w:spacing w:before="0" w:after="12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 aflate în vizită în întreprindere și/sau unitate, cu permisiunea angajatorului;</w:t>
      </w:r>
    </w:p>
    <w:p>
      <w:pPr>
        <w:pStyle w:val="Normal"/>
        <w:widowControl/>
        <w:numPr>
          <w:ilvl w:val="0"/>
          <w:numId w:val="46"/>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0"/>
          <w:numId w:val="46"/>
        </w:numPr>
        <w:spacing w:before="0" w:after="40"/>
        <w:ind w:right="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orice persoană, ca urmare a unei acțiuni întreprinse din proprie inițiativă pentru prevenirea ori înlăturarea unui pericol care amenință avutul public și privat;</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0"/>
          <w:numId w:val="46"/>
        </w:numPr>
        <w:spacing w:before="0" w:after="40"/>
        <w:ind w:right="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0"/>
          <w:numId w:val="46"/>
        </w:numPr>
        <w:spacing w:before="0" w:after="120"/>
        <w:ind w:right="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 xml:space="preserve">Accidentele de muncă se clasifică, în raport cu urmările produse și cu numărul persoanelor accidentate, în:</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0"/>
          <w:numId w:val="2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0"/>
          <w:numId w:val="2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9"/>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9"/>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VIII. Evaluarea riscurilor de accidentare și/ sau îmbolnăvire profesională</w:t>
      </w:r>
    </w:p>
    <w:p>
      <w:pPr>
        <w:pStyle w:val="Heading1"/>
        <w:widowControl/>
        <w:numPr>
          <w:ilvl w:val="0"/>
          <w:numId w:val="9"/>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(H.G. 1425/ 2006, Art. 15, alin. 3) </w:t>
      </w:r>
      <w:r>
        <w:rPr>
          <w:rStyle w:val="tal1"/>
          <w:rFonts w:eastAsia="Arial" w:cs="Arial" w:ascii="Arial" w:hAnsi="Arial"/>
          <w:b/>
          <w:bCs/>
          <w:color w:val="auto"/>
          <w:spacing w:val="0"/>
          <w:w w:val="100"/>
          <w:sz w:val="20"/>
          <w:szCs w:val="20"/>
          <w:lang w:val="ro-RO"/>
        </w:rPr>
        <w:t>Evaluarea riscurilor cu privire la securitatea și sănătatea în muncă la nivelul întreprinderii și/sau unității, inclusiv pentru grupurile sensibile la riscuri specifice, trebuie revizuită, cel puțin, în următoarele situații: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ori de câte ori intervin schimbări sau modificări în ceea ce privește tehnologia, echipamentele de muncă, substanțele ori preparatele chimice utilizate și amenajarea locurilor de muncă/posturilor de muncă;</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după producerea unui eveniment;</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constatarea omiterii unor riscuri sau la apariția unor riscuri noi;</w:t>
      </w:r>
    </w:p>
    <w:p>
      <w:pPr>
        <w:pStyle w:val="Normal"/>
        <w:widowControl/>
        <w:numPr>
          <w:ilvl w:val="2"/>
          <w:numId w:val="9"/>
        </w:numPr>
        <w:spacing w:before="0" w:after="4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la utilizarea postului de lucru de către un lucrător aparținând grupurilor sensibile la riscuri specifice;</w:t>
      </w:r>
    </w:p>
    <w:p>
      <w:pPr>
        <w:pStyle w:val="Normal"/>
        <w:widowControl/>
        <w:numPr>
          <w:ilvl w:val="2"/>
          <w:numId w:val="9"/>
        </w:numPr>
        <w:spacing w:before="0" w:after="120"/>
        <w:jc w:val="left"/>
        <w:rPr>
          <w:rFonts w:ascii="Arial" w:hAnsi="Arial" w:cs="Arial"/>
          <w:sz w:val="18"/>
          <w:szCs w:val="18"/>
          <w:lang w:val="es-ES_tradnl"/>
        </w:rPr>
      </w:pPr>
      <w:r>
        <w:rPr>
          <w:rStyle w:val="tli1"/>
          <w:rFonts w:eastAsia="Arial" w:cs="Arial" w:ascii="Arial" w:hAnsi="Arial"/>
          <w:bCs/>
          <w:color w:val="auto"/>
          <w:spacing w:val="0"/>
          <w:w w:val="100"/>
          <w:sz w:val="20"/>
          <w:szCs w:val="20"/>
          <w:lang w:val="ro-RO"/>
        </w:rPr>
        <w:t>la executarea unor lucrări speciale.</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 xml:space="preserve">Capitolul IX. Informații privind </w:t>
      </w:r>
      <w:r>
        <w:rPr>
          <w:rStyle w:val="tpt1"/>
          <w:rFonts w:eastAsia="Arial" w:cs="Arial" w:ascii="Arial" w:hAnsi="Arial"/>
          <w:b/>
          <w:color w:val="auto"/>
          <w:spacing w:val="0"/>
          <w:w w:val="100"/>
          <w:sz w:val="20"/>
          <w:szCs w:val="20"/>
          <w:lang w:val="ro-RO"/>
        </w:rPr>
        <w:t>necesarul, întocmirea și implementarea necesarului de documentații cu caracter tehnic de informare și instruire a lucrătorilor în domeniul securității și sănătății în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Întocmirea unui necesar de documentații cu caracter tehnic de informare și instruire a lucrătorilor în domeniul securității și sănătății în muncă, </w:t>
      </w:r>
      <w:r>
        <w:rPr>
          <w:rFonts w:eastAsia="Arial" w:cs="Arial" w:ascii="Arial" w:hAnsi="Arial"/>
          <w:color w:val="auto"/>
          <w:spacing w:val="0"/>
          <w:w w:val="100"/>
          <w:sz w:val="20"/>
          <w:szCs w:val="20"/>
          <w:lang w:val="ro-RO"/>
        </w:rPr>
        <w:t>conform prevederilor H.G. 1425/ 2006, Art. 15, alin. 1, punctul 6, are ca scop oferirea de informații pentru ușurarea desfășurării activităților de prevenire și protecție.</w:t>
      </w:r>
    </w:p>
    <w:p>
      <w:pPr>
        <w:pStyle w:val="Normal"/>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Cerințele minime de securitate și sănătate în muncă oferă informații concrete, informații aplicabile în funcție de domeniile de activitate în care unitatea își desfășoară activitatea, conform tabelelor de mai jos (tabel 1, 2, 3), astfel:</w:t>
      </w:r>
    </w:p>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1. ACTE NORMATIVE ÎN DOMENIUL SECURITĂȚII ȘI SĂNĂTĂȚII ÎN MUNCĂ</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actului normativ</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actul normativ</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319/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Legea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1425/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Normele metodologice de aplicare a prevederilor Legii securității și sănătății în muncă nr. 319/ 2006</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557/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Completarea măsurilor destinate să promoveze îmbunătățirea securității și sănătății la locul de muncă pentru salariații încadrați în baza unui contract individual de muncă pe durată determinată și pentru salariații temporari încadrați la agenți de muncă temporară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355/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 (MEDICINA MUNCII)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1876/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vibrații</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300/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șantierele temporare sau mobile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493/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zgomot</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971/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semnalizarea de securitate și/sau de sănătate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1028/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în muncă referitoare la utilizarea echipamentelor cu ecran de vizualizare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de către lucrători a echipamentelor individuale de protecție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1049/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asigurarea securității și sănătății lucrătorilor din industria extractivă de suprafață și subteran</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manipularea manuală a maselor care prezintă riscuri pentru lucrători, în special de afecțiuni dorsolombare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1058/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pentru îmbunătățirea securității și protecției sănătății lucrătorilor care pot fi expuși riscului datorat atmosferelor explozive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1091/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de securitate și sănătate pentru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1092/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lucrătorilor împotriva riscurilor legate de expunerea lor la agenți biologici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1093/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protecția lucrătorilor împotriva riscurilor legate de expunerea la agenți cancerigeni sau mutageni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1136/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referitoare la expunerea lucrătorilor la riscurile generate de câmpurile electromagnetice</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1146/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utilizarea în muncă de către lucrători a echipamentelor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19.</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1218/ 2006</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asigurarea protecției lucrătorilor împotriva riscurilor legate de expunerea la agenți chimici în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20.</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600/ 2007</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tinerilor la locul de muncă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H.G. 1875/ 2005</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sănătății și securității lucrătorilor față de riscurile datorate expunerii la azbest</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2. DOCUMENTE CU CARACTER INTERN DE INFORMARE</w:t>
      </w:r>
    </w:p>
    <w:tbl>
      <w:tblPr>
        <w:tblW w:w="5000" w:type="pct"/>
        <w:jc w:val="left"/>
        <w:tblInd w:w="55" w:type="dxa"/>
        <w:tblLayout w:type="fixed"/>
        <w:tblCellMar>
          <w:top w:w="55" w:type="dxa"/>
          <w:left w:w="55" w:type="dxa"/>
          <w:bottom w:w="55" w:type="dxa"/>
          <w:right w:w="55" w:type="dxa"/>
        </w:tblCellMar>
      </w:tblPr>
      <w:tblGrid>
        <w:gridCol w:w="654"/>
        <w:gridCol w:w="2152"/>
        <w:gridCol w:w="6549"/>
      </w:tblGrid>
      <w:tr>
        <w:trPr>
          <w:tblHeader w:val="true"/>
          <w:cantSplit/>
        </w:trPr>
        <w:tc>
          <w:tcPr>
            <w:tcW w:w="654"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215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Denumirea document</w:t>
            </w:r>
          </w:p>
        </w:tc>
        <w:tc>
          <w:tcPr>
            <w:tcW w:w="6549"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Informații concrete oferite de document</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Cărți tehnice</w:t>
            </w:r>
          </w:p>
        </w:tc>
        <w:tc>
          <w:tcPr>
            <w:tcW w:w="6549" w:type="dxa"/>
            <w:vMerge w:val="restart"/>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Toate informațiile necesare cu privire la modul de utilizare, depozitarea, întreținerea și mentenanța, specificații tehnice și principii de funcționare și a sistemelor de control și securitate, obligații și atenționări specifice, pentru a putea obține maximum de eficiență, performanțe ridicate și evitarea producerii de accidente cauzate de mijlocul de producție pentru fiecare echipament de muncă din dotarea unității.</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Manuale de utilizare</w:t>
            </w:r>
          </w:p>
        </w:tc>
        <w:tc>
          <w:tcPr>
            <w:tcW w:w="6549" w:type="dxa"/>
            <w:vMerge w:val="continue"/>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MISSMIG</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Material de instruire în domeniul securității și sănătății în muncă pentru instruirea introductiv – generală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IPSSM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Instrucțiuni proprii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TISSM</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Tematica de instruire și programul de instruire – testare la nivelul unității în domeniul securității și sănătății în muncă</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LN E.I.P.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 xml:space="preserve">Lista internă cu necesarul de dotare cu echipament individual de protecție (E.I.P.) a lucrătorilor</w:t>
            </w:r>
          </w:p>
        </w:tc>
      </w:tr>
      <w:tr>
        <w:trPr>
          <w:cantSplit/>
        </w:trPr>
        <w:tc>
          <w:tcPr>
            <w:tcW w:w="654" w:type="dxa"/>
            <w:tcBorders>
              <w:left w:val="single" w:sz="4" w:space="0" w:color="000000"/>
              <w:bottom w:val="single" w:sz="4" w:space="0" w:color="000000"/>
            </w:tcBorders>
            <w:vAlign w:val="center"/>
          </w:tcPr>
          <w:p>
            <w:pPr>
              <w:pStyle w:val="TableContents"/>
              <w:keepNext w:val="tru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EVR</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Evaluarea riscurilor de accidentare și / sau îmbolnăvire profesională</w:t>
            </w:r>
          </w:p>
        </w:tc>
      </w:tr>
      <w:tr>
        <w:trPr>
          <w:cantSplit/>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2152"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PPP</w:t>
            </w:r>
          </w:p>
        </w:tc>
        <w:tc>
          <w:tcPr>
            <w:tcW w:w="6549"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Planul de prevenire și protecție</w:t>
            </w:r>
          </w:p>
        </w:tc>
      </w:tr>
    </w:tbl>
    <w:p>
      <w:pPr>
        <w:pStyle w:val="Normal"/>
        <w:keepNext w:val="true"/>
        <w:widowControl/>
        <w:spacing w:before="240" w:after="120"/>
        <w:ind w:hanging="0"/>
        <w:jc w:val="center"/>
        <w:rPr>
          <w:rFonts w:ascii="Arial" w:hAnsi="Arial" w:cs="Arial"/>
          <w:sz w:val="18"/>
          <w:szCs w:val="18"/>
          <w:lang w:val="pt-PT"/>
        </w:rPr>
      </w:pPr>
      <w:r>
        <w:rPr>
          <w:rFonts w:eastAsia="Arial" w:cs="Arial" w:ascii="Arial" w:hAnsi="Arial"/>
          <w:b/>
          <w:color w:val="auto"/>
          <w:spacing w:val="0"/>
          <w:w w:val="100"/>
          <w:sz w:val="20"/>
          <w:szCs w:val="20"/>
          <w:lang w:val="ro-RO"/>
        </w:rPr>
        <w:t>TABEL 3. ALTE MATERIALE INFORMATIVE</w:t>
      </w:r>
    </w:p>
    <w:tbl>
      <w:tblPr>
        <w:tblW w:w="5000" w:type="pct"/>
        <w:jc w:val="left"/>
        <w:tblInd w:w="55" w:type="dxa"/>
        <w:tblLayout w:type="fixed"/>
        <w:tblCellMar>
          <w:top w:w="55" w:type="dxa"/>
          <w:left w:w="55" w:type="dxa"/>
          <w:bottom w:w="55" w:type="dxa"/>
          <w:right w:w="55" w:type="dxa"/>
        </w:tblCellMar>
      </w:tblPr>
      <w:tblGrid>
        <w:gridCol w:w="654"/>
        <w:gridCol w:w="2152"/>
        <w:gridCol w:w="1203"/>
        <w:gridCol w:w="980"/>
        <w:gridCol w:w="1203"/>
        <w:gridCol w:w="980"/>
        <w:gridCol w:w="1203"/>
        <w:gridCol w:w="980"/>
      </w:tblGrid>
      <w:tr>
        <w:trPr>
          <w:tblHeader w:val="true"/>
          <w:cantSplit/>
          <w:trHeight w:val="46" w:hRule="atLeast"/>
        </w:trPr>
        <w:tc>
          <w:tcPr>
            <w:tcW w:w="654" w:type="dxa"/>
            <w:tcBorders>
              <w:top w:val="single" w:sz="4" w:space="0" w:color="000000"/>
              <w:left w:val="single" w:sz="4" w:space="0" w:color="000000"/>
              <w:bottom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Nr. crt.</w:t>
            </w:r>
          </w:p>
        </w:tc>
        <w:tc>
          <w:tcPr>
            <w:tcW w:w="2152" w:type="dxa"/>
            <w:tcBorders>
              <w:top w:val="single" w:sz="4" w:space="0" w:color="000000"/>
              <w:left w:val="single" w:sz="4" w:space="0" w:color="000000"/>
              <w:bottom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Denumirea materialului informativ</w:t>
            </w:r>
          </w:p>
        </w:tc>
        <w:tc>
          <w:tcPr>
            <w:tcW w:w="6549" w:type="dxa"/>
            <w:gridSpan w:val="6"/>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18"/>
                <w:szCs w:val="20"/>
                <w:lang w:val="ro-RO"/>
              </w:rPr>
              <w:t>Informații concrete oferite de materialul informativ</w:t>
            </w:r>
          </w:p>
        </w:tc>
      </w:tr>
      <w:tr>
        <w:trPr>
          <w:cantSplit/>
          <w:trHeight w:val="46" w:hRule="atLeast"/>
        </w:trPr>
        <w:tc>
          <w:tcPr>
            <w:tcW w:w="654" w:type="dxa"/>
            <w:vMerge w:val="restart"/>
            <w:tcBorders>
              <w:left w:val="single" w:sz="4" w:space="0" w:color="000000"/>
              <w:bottom w:val="single" w:sz="4" w:space="0" w:color="000000"/>
            </w:tcBorders>
            <w:vAlign w:val="center"/>
          </w:tcPr>
          <w:p>
            <w:pPr>
              <w:pStyle w:val="Normal"/>
              <w:keepNext w:val="true"/>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1.</w:t>
            </w:r>
          </w:p>
        </w:tc>
        <w:tc>
          <w:tcPr>
            <w:tcW w:w="2152" w:type="dxa"/>
            <w:vMerge w:val="restart"/>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STOC DE MIJLOACE DE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INTERZICERE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PERICOL</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PSI</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15925" cy="415925"/>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AVERTIZARE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ATENȚIONARE</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52120" cy="396875"/>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15" t="-18" r="-15" b="-18"/>
                          <a:stretch>
                            <a:fillRect/>
                          </a:stretch>
                        </pic:blipFill>
                        <pic:spPr bwMode="auto">
                          <a:xfrm>
                            <a:off x="0" y="0"/>
                            <a:ext cx="452120" cy="39687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OBLIGATIVI</w:t>
              <w:softHyphen/>
              <w:t>TATE</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387985" cy="38798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7" t="-7" r="-7" b="-7"/>
                          <a:stretch>
                            <a:fillRect/>
                          </a:stretch>
                        </pic:blipFill>
                        <pic:spPr bwMode="auto">
                          <a:xfrm>
                            <a:off x="0" y="0"/>
                            <a:ext cx="387985" cy="387985"/>
                          </a:xfrm>
                          <a:prstGeom prst="rect">
                            <a:avLst/>
                          </a:prstGeom>
                          <a:noFill/>
                        </pic:spPr>
                      </pic:pic>
                    </a:graphicData>
                  </a:graphic>
                </wp:inline>
              </w:drawing>
            </w:r>
          </w:p>
        </w:tc>
      </w:tr>
      <w:tr>
        <w:trPr>
          <w:cantSplit/>
          <w:trHeight w:val="46" w:hRule="atLeast"/>
        </w:trPr>
        <w:tc>
          <w:tcPr>
            <w:tcW w:w="654" w:type="dxa"/>
            <w:vMerge w:val="continue"/>
            <w:tcBorders>
              <w:left w:val="single" w:sz="4" w:space="0" w:color="000000"/>
              <w:bottom w:val="single" w:sz="4" w:space="0" w:color="000000"/>
            </w:tcBorders>
            <w:vAlign w:val="center"/>
          </w:tcPr>
          <w:p>
            <w:pPr>
              <w:pStyle w:val="Normal"/>
              <w:keepNext w:val="true"/>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c>
          <w:tcPr>
            <w:tcW w:w="2183" w:type="dxa"/>
            <w:gridSpan w:val="2"/>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b/>
                <w:color w:val="auto"/>
                <w:spacing w:val="0"/>
                <w:w w:val="100"/>
                <w:sz w:val="18"/>
                <w:szCs w:val="20"/>
                <w:lang w:val="ro-RO"/>
              </w:rPr>
              <w:t>TIP SEMNALIZARE</w:t>
            </w:r>
          </w:p>
        </w:tc>
      </w:tr>
      <w:tr>
        <w:trPr>
          <w:cantSplit/>
          <w:trHeight w:val="569" w:hRule="atLeast"/>
        </w:trPr>
        <w:tc>
          <w:tcPr>
            <w:tcW w:w="654"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2152" w:type="dxa"/>
            <w:vMerge w:val="continue"/>
            <w:tcBorders>
              <w:left w:val="single" w:sz="4" w:space="0" w:color="000000"/>
              <w:bottom w:val="single" w:sz="4" w:space="0" w:color="000000"/>
            </w:tcBorders>
            <w:vAlign w:val="center"/>
          </w:tcPr>
          <w:p>
            <w:pPr>
              <w:pStyle w:val="Normal"/>
              <w:snapToGrid w:val="false"/>
              <w:jc w:val="center"/>
              <w:rPr>
                <w:rFonts w:ascii="Arial" w:hAnsi="Arial" w:cs="Arial"/>
                <w:sz w:val="18"/>
                <w:szCs w:val="18"/>
                <w:lang w:val="pt-PT"/>
              </w:rPr>
            </w:pPr>
            <w:r>
              <w:rPr>
                <w:rFonts w:eastAsia="Arial" w:cs="Arial" w:ascii="Arial" w:hAnsi="Arial"/>
                <w:color w:val="auto"/>
                <w:spacing w:val="0"/>
                <w:w w:val="100"/>
                <w:sz w:val="20"/>
                <w:szCs w:val="20"/>
                <w:lang w:val="ro-RO"/>
              </w:rPr>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SALVARE</w:t>
            </w:r>
          </w:p>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PRIM AJUTOR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18"/>
                <w:szCs w:val="20"/>
                <w:lang w:val="ro-RO"/>
              </w:rPr>
              <w:drawing>
                <wp:inline distT="0" distB="0" distL="0" distR="0">
                  <wp:extent cx="429895" cy="42989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15" t="-15" r="-15" b="-15"/>
                          <a:stretch>
                            <a:fillRect/>
                          </a:stretch>
                        </pic:blipFill>
                        <pic:spPr bwMode="auto">
                          <a:xfrm>
                            <a:off x="0" y="0"/>
                            <a:ext cx="429895" cy="42989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Style w:val="tsp1"/>
                <w:rFonts w:eastAsia="Arial" w:cs="Arial" w:ascii="Arial" w:hAnsi="Arial"/>
                <w:b/>
                <w:color w:val="auto"/>
                <w:spacing w:val="0"/>
                <w:w w:val="100"/>
                <w:sz w:val="14"/>
                <w:szCs w:val="20"/>
                <w:lang w:val="ro-RO"/>
              </w:rPr>
              <w:t>PREVENIREA ȘI STINGEREA INCENDIILOR</w:t>
            </w:r>
          </w:p>
        </w:tc>
        <w:tc>
          <w:tcPr>
            <w:tcW w:w="980"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415925" cy="41592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15" t="-15" r="-15" b="-15"/>
                          <a:stretch>
                            <a:fillRect/>
                          </a:stretch>
                        </pic:blipFill>
                        <pic:spPr bwMode="auto">
                          <a:xfrm>
                            <a:off x="0" y="0"/>
                            <a:ext cx="415925" cy="415925"/>
                          </a:xfrm>
                          <a:prstGeom prst="rect">
                            <a:avLst/>
                          </a:prstGeom>
                          <a:noFill/>
                        </pic:spPr>
                      </pic:pic>
                    </a:graphicData>
                  </a:graphic>
                </wp:inline>
              </w:drawing>
            </w:r>
          </w:p>
        </w:tc>
        <w:tc>
          <w:tcPr>
            <w:tcW w:w="1203" w:type="dxa"/>
            <w:tcBorders>
              <w:left w:val="single" w:sz="4" w:space="0" w:color="000000"/>
              <w:bottom w:val="single" w:sz="4" w:space="0" w:color="000000"/>
            </w:tcBorders>
            <w:vAlign w:val="center"/>
          </w:tcPr>
          <w:p>
            <w:pPr>
              <w:pStyle w:val="Normal"/>
              <w:widowControl/>
              <w:spacing w:before="0" w:after="0"/>
              <w:jc w:val="center"/>
              <w:rPr>
                <w:rFonts w:ascii="Arial" w:hAnsi="Arial" w:cs="Arial"/>
                <w:b/>
                <w:sz w:val="14"/>
                <w:szCs w:val="14"/>
                <w:lang w:val="pt-PT"/>
              </w:rPr>
            </w:pPr>
            <w:r>
              <w:rPr>
                <w:rFonts w:eastAsia="Arial" w:cs="Arial" w:ascii="Arial" w:hAnsi="Arial"/>
                <w:b/>
                <w:color w:val="auto"/>
                <w:spacing w:val="0"/>
                <w:w w:val="100"/>
                <w:sz w:val="14"/>
                <w:szCs w:val="20"/>
                <w:lang w:val="ro-RO"/>
              </w:rPr>
              <w:t>BENZI DE MARCAJ OCAZIONAT</w:t>
            </w:r>
          </w:p>
        </w:tc>
        <w:tc>
          <w:tcPr>
            <w:tcW w:w="980" w:type="dxa"/>
            <w:tcBorders>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drawing>
                <wp:inline distT="0" distB="0" distL="0" distR="0">
                  <wp:extent cx="524510" cy="316230"/>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tretch>
                            <a:fillRect/>
                          </a:stretch>
                        </pic:blipFill>
                        <pic:spPr bwMode="auto">
                          <a:xfrm>
                            <a:off x="0" y="0"/>
                            <a:ext cx="524510" cy="316230"/>
                          </a:xfrm>
                          <a:prstGeom prst="rect">
                            <a:avLst/>
                          </a:prstGeom>
                          <a:noFill/>
                          <a:ln w="6350">
                            <a:solidFill>
                              <a:srgbClr val="000000"/>
                            </a:solidFill>
                          </a:ln>
                        </pic:spPr>
                      </pic:pic>
                    </a:graphicData>
                  </a:graphic>
                </wp:inline>
              </w:drawing>
            </w:r>
          </w:p>
        </w:tc>
      </w:tr>
      <w:tr>
        <w:trPr>
          <w:cantSplit/>
          <w:trHeight w:val="53" w:hRule="atLeast"/>
        </w:trPr>
        <w:tc>
          <w:tcPr>
            <w:tcW w:w="654" w:type="dxa"/>
            <w:tcBorders>
              <w:left w:val="single" w:sz="4" w:space="0" w:color="000000"/>
              <w:bottom w:val="single" w:sz="4" w:space="0" w:color="000000"/>
            </w:tcBorders>
            <w:vAlign w:val="center"/>
          </w:tcPr>
          <w:p>
            <w:pPr>
              <w:pStyle w:val="Normal"/>
              <w:widowControl/>
              <w:snapToGrid w:val="false"/>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2.</w:t>
            </w:r>
          </w:p>
        </w:tc>
        <w:tc>
          <w:tcPr>
            <w:tcW w:w="2152" w:type="dxa"/>
            <w:tcBorders>
              <w:left w:val="single" w:sz="4" w:space="0" w:color="000000"/>
              <w:bottom w:val="single" w:sz="4"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18"/>
                <w:szCs w:val="20"/>
                <w:lang w:val="ro-RO"/>
              </w:rPr>
              <w:t>PANOURI INFORMATIVE</w:t>
            </w:r>
          </w:p>
        </w:tc>
        <w:tc>
          <w:tcPr>
            <w:tcW w:w="6549" w:type="dxa"/>
            <w:gridSpan w:val="6"/>
            <w:tcBorders>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Se vor afișa panouri care vor informa cu privire la primul ajutor, stingerea incendiilor, măsuri de evacuare, instrucțiuni pentru echipamente de muncă, planuri de evacuare și alte informații utile în domeniul securității și sănătății în muncă și situații de urgență.</w:t>
            </w:r>
          </w:p>
          <w:p>
            <w:pPr>
              <w:pStyle w:val="Normal"/>
              <w:widowControl/>
              <w:spacing w:before="0" w:after="0"/>
              <w:rPr>
                <w:rFonts w:ascii="Arial" w:hAnsi="Arial" w:cs="Arial"/>
                <w:sz w:val="18"/>
                <w:szCs w:val="18"/>
                <w:lang w:val="pt-PT"/>
              </w:rPr>
            </w:pPr>
            <w:r>
              <w:rPr>
                <w:rFonts w:eastAsia="Arial" w:cs="Arial" w:ascii="Arial" w:hAnsi="Arial"/>
                <w:color w:val="auto"/>
                <w:spacing w:val="0"/>
                <w:w w:val="100"/>
                <w:sz w:val="18"/>
                <w:szCs w:val="20"/>
                <w:lang w:val="ro-RO"/>
              </w:rPr>
              <w:t>Pentru informații mai precise privind modul de afișare, informațiile care trebuie afișate și cazurile în care este necesară afișarea de informații, angajatorul va solicita serviciului extern de prevenire și protecție pentru oferirea de informații specifice și clare cu privire la aceste activități.</w:t>
            </w:r>
          </w:p>
        </w:tc>
      </w:tr>
    </w:tbl>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 Informații privind </w:t>
      </w:r>
      <w:r>
        <w:rPr>
          <w:rStyle w:val="tpt1"/>
          <w:rFonts w:eastAsia="Arial" w:cs="Arial" w:ascii="Arial" w:hAnsi="Arial"/>
          <w:b/>
          <w:color w:val="auto"/>
          <w:spacing w:val="0"/>
          <w:w w:val="100"/>
          <w:sz w:val="20"/>
          <w:szCs w:val="20"/>
          <w:lang w:val="ro-RO"/>
        </w:rPr>
        <w:t>întocmirea fișei postului</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securității și sănătății în muncă (conform Legii 319/2006 și H.G. 1425/ 2006), valabile pentru lucrători:</w:t>
      </w:r>
    </w:p>
    <w:p>
      <w:pPr>
        <w:pStyle w:val="Normal"/>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mod deosebit, pentru evitarea riscurilor de expună la pericol de accidentare sau îmbolnăvire profesională atât propria persoană, cât și alte persoane care pot fi afectate de acțiuni sau omisiuni sale timpul procesului de muncă, lucrătorii au următoarele obligații:</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3"/>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keepNext/>
        <w:widowControl/>
        <w:numPr>
          <w:ilvl w:val="0"/>
          <w:numId w:val="2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pentru o cooperare cu angajatorul și/ sau cu lucrătorii desemnați, lucrătorii au următoarele obligații:</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de la angajare în domeniul securității și sănătății în muncă (instruirea introductiv – generală, instruirea la locul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securității și sănătății în muncă (atunci când acestea sunt programate) după ce au fost informați în prealabil de către șeful ierarhic (șeful locului de muncă);</w:t>
      </w:r>
    </w:p>
    <w:p>
      <w:pPr>
        <w:pStyle w:val="Normal"/>
        <w:widowControl/>
        <w:numPr>
          <w:ilvl w:val="0"/>
          <w:numId w:val="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participe la instruirile suplimentare (reinstruiri) în domeniul securității și sănătății în muncă (atunci când acestea sunt programate) după ce au fost informați în prealabil de către șeful ierarhic (șeful locului de muncă);</w:t>
      </w:r>
    </w:p>
    <w:p>
      <w:pPr>
        <w:pStyle w:val="Normal"/>
        <w:widowControl/>
        <w:numPr>
          <w:ilvl w:val="0"/>
          <w:numId w:val="29"/>
        </w:numPr>
        <w:spacing w:before="0" w:after="12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Fiecare lucrător se va prezenta la cabinetul de medicina muncii pentru </w:t>
      </w:r>
      <w:r>
        <w:rPr>
          <w:rFonts w:eastAsia="Arial" w:cs="Arial" w:ascii="Arial" w:hAnsi="Arial"/>
          <w:bCs/>
          <w:color w:val="auto"/>
          <w:spacing w:val="0"/>
          <w:w w:val="100"/>
          <w:sz w:val="20"/>
          <w:szCs w:val="20"/>
          <w:lang w:val="ro-RO"/>
        </w:rPr>
        <w:t xml:space="preserve">efectuarea la termenele stabilite de medicul de medicina muncii al unității, </w:t>
      </w:r>
      <w:r>
        <w:rPr>
          <w:rFonts w:eastAsia="Arial" w:cs="Arial" w:ascii="Arial" w:hAnsi="Arial"/>
          <w:color w:val="auto"/>
          <w:spacing w:val="0"/>
          <w:w w:val="100"/>
          <w:sz w:val="20"/>
          <w:szCs w:val="20"/>
          <w:lang w:val="ro-RO"/>
        </w:rPr>
        <w:t xml:space="preserve">controlul medical periodic sau, după caz, controlul psihologic periodic, datele medicale obținute fiind evidențiate în </w:t>
      </w:r>
      <w:r>
        <w:rPr>
          <w:rFonts w:eastAsia="Arial" w:cs="Arial" w:ascii="Arial" w:hAnsi="Arial"/>
          <w:b/>
          <w:bCs/>
          <w:color w:val="auto"/>
          <w:spacing w:val="0"/>
          <w:w w:val="100"/>
          <w:sz w:val="20"/>
          <w:szCs w:val="20"/>
          <w:lang w:val="ro-RO"/>
        </w:rPr>
        <w:t>« FIȘA DE APTITUDINE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și soluționate prin parafa medicului de medicina muncii în « </w:t>
      </w:r>
      <w:r>
        <w:rPr>
          <w:rFonts w:eastAsia="Arial" w:cs="Arial" w:ascii="Arial" w:hAnsi="Arial"/>
          <w:b/>
          <w:bCs/>
          <w:color w:val="auto"/>
          <w:spacing w:val="0"/>
          <w:w w:val="100"/>
          <w:sz w:val="20"/>
          <w:szCs w:val="20"/>
          <w:lang w:val="ro-RO"/>
        </w:rPr>
        <w:t>FIȘA DE INSTRUIRE ÎN DOMENIUL SECURITĂȚII ȘI SĂNĂTĂȚII ÎN MUNCĂ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pentru anul în curs.</w:t>
      </w:r>
    </w:p>
    <w:p>
      <w:pPr>
        <w:pStyle w:val="Normal"/>
        <w:keepNext/>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 atribuții și răspunderi în domeniul situațiilor de urgență (conform Legii 307/2006), valabile pentru lucrători: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persoana care observă un incendiu are obligația să anunțe prin orice mijloc serviciile de urgență, poliția și să ia măsuri, după posibilitățile sale, pentru limitarea și stingerea incendiului.</w:t>
      </w:r>
    </w:p>
    <w:p>
      <w:pPr>
        <w:pStyle w:val="Normal"/>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anunțul de incendiu s-a făcut cu rea-credință, fără motiv întemeiat, autorul răspunde contravențional sau penal, potrivit legii, și suportă cheltuielile ocazionate de deplasarea forțelor de intervenție.</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lucrător / utilizatorul are următoarele obligații principale: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 sau importator;</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0"/>
          <w:numId w:val="36"/>
        </w:numPr>
        <w:spacing w:before="0" w:after="40"/>
        <w:ind w:hanging="360" w:left="1080" w:right="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0"/>
          <w:numId w:val="19"/>
        </w:numPr>
        <w:spacing w:before="0" w:after="40"/>
        <w:ind w:hanging="360" w:left="1080" w:right="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0"/>
          <w:numId w:val="19"/>
        </w:numPr>
        <w:spacing w:before="0" w:after="40"/>
        <w:ind w:hanging="360" w:left="1080" w:right="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furnizeze persoanelor abilitate toate datele și informațiile de care are cunoștință, referitoare la producerea incendiilor.</w:t>
      </w:r>
    </w:p>
    <w:p>
      <w:pPr>
        <w:pStyle w:val="Normal"/>
        <w:keepNext/>
        <w:widowControl/>
        <w:numPr>
          <w:ilvl w:val="0"/>
          <w:numId w:val="2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asemenea, în scopul realizării obiectivelor prevăzute la art. 3, lit. a) și c) din prezenta anexă, lucrătorii au următoarele obligații:</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de la angajare în domeniul situațiilor de urgență (instruirea introductiv – generală, instruirea la locul de muncă);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periodice în domeniul situațiilor de urgență (atunci când acestea sunt programate) după ce au fost informați în prealabil de către șeful ierarhic (șeful locului de muncă);</w:t>
      </w:r>
    </w:p>
    <w:p>
      <w:pPr>
        <w:pStyle w:val="Normal"/>
        <w:widowControl/>
        <w:numPr>
          <w:ilvl w:val="0"/>
          <w:numId w:val="25"/>
        </w:numPr>
        <w:spacing w:before="0" w:after="120"/>
        <w:ind w:hanging="360" w:left="1080"/>
        <w:jc w:val="left"/>
        <w:rPr>
          <w:rStyle w:val="tpt1"/>
          <w:rFonts w:ascii="Arial" w:hAnsi="Arial" w:cs="Arial"/>
          <w:sz w:val="18"/>
          <w:szCs w:val="18"/>
          <w:lang w:val="it-IT"/>
        </w:rPr>
      </w:pPr>
      <w:r>
        <w:rPr>
          <w:rFonts w:eastAsia="Arial" w:cs="Arial" w:ascii="Arial" w:hAnsi="Arial"/>
          <w:color w:val="auto"/>
          <w:spacing w:val="0"/>
          <w:w w:val="100"/>
          <w:sz w:val="20"/>
          <w:szCs w:val="20"/>
          <w:lang w:val="ro-RO"/>
        </w:rPr>
        <w:t xml:space="preserve">să participe la instruirile suplimentare în domeniul situațiilor de urgență (atunci când acestea sunt programate) după ce au fost informați în prealabil de către șeful ierarhic (șeful locului de muncă).</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(conform Legii 319/ 2006 și H.G. 1425/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widowControl/>
        <w:numPr>
          <w:ilvl w:val="0"/>
          <w:numId w:val="9"/>
        </w:numPr>
        <w:spacing w:before="120" w:after="60"/>
        <w:jc w:val="left"/>
        <w:rPr>
          <w:rFonts w:ascii="Arial" w:hAnsi="Arial" w:cs="Arial"/>
          <w:sz w:val="18"/>
          <w:szCs w:val="18"/>
          <w:lang w:val="de-DE"/>
        </w:rPr>
      </w:pPr>
      <w:r>
        <w:rPr>
          <w:rStyle w:val="tpt1"/>
          <w:rFonts w:eastAsia="Arial" w:cs="Arial" w:ascii="Arial" w:hAnsi="Arial"/>
          <w:color w:val="auto"/>
          <w:spacing w:val="0"/>
          <w:w w:val="100"/>
          <w:sz w:val="20"/>
          <w:szCs w:val="20"/>
          <w:lang w:val="ro-RO"/>
        </w:rPr>
        <w:t xml:space="preserve">Obligațiile, atribuțiile și răspunderile în domeniul situațiilor de urgență (conform Legii 307/ 2006), valabile pentru șefii locurilor de muncă vor fi aceleași cu ale lucrătorilor doar că se va suplimenta cu următoarea prevedere:</w:t>
      </w:r>
      <w:r>
        <w:rPr>
          <w:rFonts w:eastAsia="Arial" w:cs="Arial" w:ascii="Arial" w:hAnsi="Arial"/>
          <w:color w:val="auto"/>
          <w:spacing w:val="0"/>
          <w:w w:val="100"/>
          <w:sz w:val="20"/>
          <w:szCs w:val="20"/>
          <w:lang w:val="ro-RO"/>
        </w:rPr>
        <w:t xml:space="preserve"> să efectueze instruirea la locul de muncă, periodică și când este cazul, suplimentară la lucrătorii din subordine.</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Art. 56)</w:t>
      </w:r>
      <w:r>
        <w:rPr>
          <w:rStyle w:val="tal1"/>
          <w:rFonts w:eastAsia="Arial" w:cs="Arial" w:ascii="Arial" w:hAnsi="Arial"/>
          <w:color w:val="auto"/>
          <w:spacing w:val="0"/>
          <w:w w:val="100"/>
          <w:sz w:val="20"/>
          <w:szCs w:val="20"/>
          <w:lang w:val="ro-RO"/>
        </w:rPr>
        <w:t xml:space="preserve"> </w:t>
      </w:r>
      <w:bookmarkStart w:id="14" w:name="do|caIII|si9|ar56|pa1"/>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Reprezentanții lucrătorilor cu răspunderi specifice în domeniul securității și sănătății în muncă </w:t>
      </w:r>
      <w:r>
        <w:rPr>
          <w:rStyle w:val="tpt1"/>
          <w:rFonts w:eastAsia="Arial" w:cs="Arial" w:ascii="Arial" w:hAnsi="Arial"/>
          <w:color w:val="auto"/>
          <w:spacing w:val="0"/>
          <w:w w:val="100"/>
          <w:sz w:val="20"/>
          <w:szCs w:val="20"/>
          <w:lang w:val="ro-RO"/>
        </w:rPr>
        <w:t xml:space="preserve">vor fi suplimentate cu următoarele prevederi</w:t>
      </w:r>
      <w:bookmarkEnd w:id="14"/>
      <w:r>
        <w:rPr>
          <w:rStyle w:val="tpt1"/>
          <w:rFonts w:eastAsia="Arial" w:cs="Arial" w:ascii="Arial" w:hAnsi="Arial"/>
          <w:color w:val="auto"/>
          <w:spacing w:val="0"/>
          <w:w w:val="100"/>
          <w:sz w:val="20"/>
          <w:szCs w:val="20"/>
          <w:lang w:val="ro-RO"/>
        </w:rPr>
        <w:t xml:space="preserve"/>
      </w:r>
      <w:r>
        <w:rPr>
          <w:rStyle w:val="tpa1"/>
          <w:rFonts w:eastAsia="Arial" w:cs="Arial" w:ascii="Arial" w:hAnsi="Arial"/>
          <w:color w:val="auto"/>
          <w:spacing w:val="0"/>
          <w:w w:val="100"/>
          <w:sz w:val="20"/>
          <w:szCs w:val="20"/>
          <w:lang w:val="ro-RO"/>
        </w:rPr>
        <w:t>:</w:t>
      </w:r>
    </w:p>
    <w:p>
      <w:pPr>
        <w:pStyle w:val="Normal"/>
        <w:widowControl/>
        <w:numPr>
          <w:ilvl w:val="0"/>
          <w:numId w:val="33"/>
        </w:numPr>
        <w:spacing w:before="0" w:after="40"/>
        <w:jc w:val="left"/>
        <w:rPr>
          <w:rFonts w:ascii="Arial" w:hAnsi="Arial" w:cs="Arial"/>
          <w:sz w:val="18"/>
          <w:szCs w:val="18"/>
          <w:lang w:val="it-IT"/>
        </w:rPr>
      </w:pPr>
      <w:bookmarkStart w:id="15" w:name="do|caIII|si9|ar56|lia"/>
      <w:bookmarkEnd w:id="15"/>
      <w:r>
        <w:rPr>
          <w:rStyle w:val="tli1"/>
          <w:rFonts w:eastAsia="Arial" w:cs="Arial" w:ascii="Arial" w:hAnsi="Arial"/>
          <w:color w:val="auto"/>
          <w:spacing w:val="0"/>
          <w:w w:val="100"/>
          <w:sz w:val="20"/>
          <w:szCs w:val="20"/>
          <w:lang w:val="ro-RO"/>
        </w:rPr>
        <w:t>colaborează cu angajatorul pentru îmbunătățirea condițiilor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6" w:name="do|caIII|si9|ar56|lib"/>
      <w:bookmarkEnd w:id="16"/>
      <w:r>
        <w:rPr>
          <w:rStyle w:val="tli1"/>
          <w:rFonts w:eastAsia="Arial" w:cs="Arial" w:ascii="Arial" w:hAnsi="Arial"/>
          <w:color w:val="auto"/>
          <w:spacing w:val="0"/>
          <w:w w:val="100"/>
          <w:sz w:val="20"/>
          <w:szCs w:val="20"/>
          <w:lang w:val="ro-RO"/>
        </w:rPr>
        <w:t>însoțesc echipa/persoana care efectuează evaluarea riscurilor;</w:t>
      </w:r>
    </w:p>
    <w:p>
      <w:pPr>
        <w:pStyle w:val="Normal"/>
        <w:widowControl/>
        <w:numPr>
          <w:ilvl w:val="0"/>
          <w:numId w:val="33"/>
        </w:numPr>
        <w:spacing w:before="0" w:after="40"/>
        <w:jc w:val="left"/>
        <w:rPr>
          <w:rFonts w:ascii="Arial" w:hAnsi="Arial" w:cs="Arial"/>
          <w:sz w:val="18"/>
          <w:szCs w:val="18"/>
          <w:lang w:val="es-ES"/>
        </w:rPr>
      </w:pPr>
      <w:bookmarkStart w:id="17" w:name="do|caIII|si9|ar56|lic"/>
      <w:bookmarkEnd w:id="17"/>
      <w:r>
        <w:rPr>
          <w:rStyle w:val="tli1"/>
          <w:rFonts w:eastAsia="Arial" w:cs="Arial" w:ascii="Arial" w:hAnsi="Arial"/>
          <w:color w:val="auto"/>
          <w:spacing w:val="0"/>
          <w:w w:val="100"/>
          <w:sz w:val="20"/>
          <w:szCs w:val="20"/>
          <w:lang w:val="ro-RO"/>
        </w:rPr>
        <w:t>ajută lucrătorii să conștientizeze necesitatea aplicării măsurilor de securitate și sănătate în muncă;</w:t>
      </w:r>
    </w:p>
    <w:p>
      <w:pPr>
        <w:pStyle w:val="Normal"/>
        <w:widowControl/>
        <w:numPr>
          <w:ilvl w:val="0"/>
          <w:numId w:val="33"/>
        </w:numPr>
        <w:spacing w:before="0" w:after="40"/>
        <w:jc w:val="left"/>
        <w:rPr>
          <w:rFonts w:ascii="Arial" w:hAnsi="Arial" w:cs="Arial"/>
          <w:sz w:val="18"/>
          <w:szCs w:val="18"/>
          <w:lang w:val="es-ES"/>
        </w:rPr>
      </w:pPr>
      <w:bookmarkStart w:id="18" w:name="do|caIII|si9|ar56|lid"/>
      <w:bookmarkEnd w:id="18"/>
      <w:r>
        <w:rPr>
          <w:rStyle w:val="tli1"/>
          <w:rFonts w:eastAsia="Arial" w:cs="Arial" w:ascii="Arial" w:hAnsi="Arial"/>
          <w:color w:val="auto"/>
          <w:spacing w:val="0"/>
          <w:w w:val="100"/>
          <w:sz w:val="20"/>
          <w:szCs w:val="20"/>
          <w:lang w:val="ro-RO"/>
        </w:rPr>
        <w:t>aduc la cunoștință angajatorului sau comitetului de securitate și sănătate în muncă propunerile lucrătorilor referitoare la îmbunătățirea condițiilor de muncă;</w:t>
      </w:r>
    </w:p>
    <w:p>
      <w:pPr>
        <w:pStyle w:val="Normal"/>
        <w:widowControl/>
        <w:numPr>
          <w:ilvl w:val="0"/>
          <w:numId w:val="33"/>
        </w:numPr>
        <w:spacing w:before="0" w:after="40"/>
        <w:jc w:val="left"/>
        <w:rPr>
          <w:rFonts w:ascii="Arial" w:hAnsi="Arial" w:cs="Arial"/>
          <w:sz w:val="18"/>
          <w:szCs w:val="18"/>
          <w:lang w:val="es-ES"/>
        </w:rPr>
      </w:pPr>
      <w:bookmarkStart w:id="19" w:name="do|caIII|si9|ar56|lie"/>
      <w:bookmarkEnd w:id="19"/>
      <w:r>
        <w:rPr>
          <w:rStyle w:val="tli1"/>
          <w:rFonts w:eastAsia="Arial" w:cs="Arial" w:ascii="Arial" w:hAnsi="Arial"/>
          <w:color w:val="auto"/>
          <w:spacing w:val="0"/>
          <w:w w:val="100"/>
          <w:sz w:val="20"/>
          <w:szCs w:val="20"/>
          <w:lang w:val="ro-RO"/>
        </w:rPr>
        <w:t>urmăresc realizarea măsurilor din planul de prevenire și protecție;</w:t>
      </w:r>
    </w:p>
    <w:p>
      <w:pPr>
        <w:pStyle w:val="Normal"/>
        <w:widowControl/>
        <w:numPr>
          <w:ilvl w:val="0"/>
          <w:numId w:val="33"/>
        </w:numPr>
        <w:spacing w:before="0" w:after="120"/>
        <w:jc w:val="left"/>
        <w:rPr>
          <w:rStyle w:val="tli1"/>
          <w:rFonts w:ascii="Arial" w:hAnsi="Arial" w:cs="Arial"/>
          <w:sz w:val="18"/>
          <w:szCs w:val="18"/>
          <w:lang w:val="es-ES"/>
        </w:rPr>
      </w:pPr>
      <w:bookmarkStart w:id="20" w:name="do|caIII|si9|ar56|lif"/>
      <w:bookmarkEnd w:id="20"/>
      <w:r>
        <w:rPr>
          <w:rStyle w:val="tli1"/>
          <w:rFonts w:eastAsia="Arial" w:cs="Arial" w:ascii="Arial" w:hAnsi="Arial"/>
          <w:color w:val="auto"/>
          <w:spacing w:val="0"/>
          <w:w w:val="100"/>
          <w:sz w:val="20"/>
          <w:szCs w:val="20"/>
          <w:lang w:val="ro-RO"/>
        </w:rPr>
        <w:t>informează autoritățile competente asupra nerespectării prevederilor legale în domeniul securității și sănătății în muncă.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1425/ 2006, Art. 15)</w:t>
      </w:r>
      <w:r>
        <w:rPr>
          <w:rStyle w:val="tal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 xml:space="preserve">Obligațiile, atribuțiile și răspunderile în domeniul securității și sănătății în muncă, valabile pentru </w:t>
      </w:r>
      <w:r>
        <w:rPr>
          <w:rStyle w:val="tpa1"/>
          <w:rFonts w:eastAsia="Arial" w:cs="Arial" w:ascii="Arial" w:hAnsi="Arial"/>
          <w:color w:val="auto"/>
          <w:spacing w:val="0"/>
          <w:w w:val="100"/>
          <w:sz w:val="20"/>
          <w:szCs w:val="20"/>
          <w:lang w:val="ro-RO"/>
        </w:rPr>
        <w:t xml:space="preserve">Lucrătorii desemnați </w:t>
      </w:r>
      <w:r>
        <w:rPr>
          <w:rStyle w:val="tpt1"/>
          <w:rFonts w:eastAsia="Arial" w:cs="Arial" w:ascii="Arial" w:hAnsi="Arial"/>
          <w:color w:val="auto"/>
          <w:spacing w:val="0"/>
          <w:w w:val="100"/>
          <w:sz w:val="20"/>
          <w:szCs w:val="20"/>
          <w:lang w:val="ro-RO"/>
        </w:rPr>
        <w:t xml:space="preserve">vor fi suplimentate cu următoarele prevederi (aceste atribuții vor fi stabilite de comun acord între lucrătorul desemnat și angajator)</w:t>
      </w:r>
      <w:r>
        <w:rPr>
          <w:rStyle w:val="tpa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1" w:name="do|caIII|si2|ar15|al1|pt1"/>
      <w:bookmarkEnd w:id="21"/>
      <w:r>
        <w:rPr>
          <w:rStyle w:val="tpt1"/>
          <w:rFonts w:eastAsia="Arial" w:cs="Arial" w:ascii="Arial" w:hAnsi="Arial"/>
          <w:color w:val="auto"/>
          <w:spacing w:val="0"/>
          <w:w w:val="100"/>
          <w:sz w:val="20"/>
          <w:szCs w:val="20"/>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0"/>
          <w:numId w:val="23"/>
        </w:numPr>
        <w:spacing w:before="0" w:after="40"/>
        <w:jc w:val="left"/>
        <w:rPr>
          <w:rFonts w:ascii="Arial" w:hAnsi="Arial" w:cs="Arial"/>
          <w:sz w:val="18"/>
          <w:szCs w:val="18"/>
          <w:lang w:val="ro-RO"/>
        </w:rPr>
      </w:pPr>
      <w:bookmarkStart w:id="22" w:name="do|caIII|si2|ar15|al1|pt2"/>
      <w:bookmarkEnd w:id="22"/>
      <w:r>
        <w:rPr>
          <w:rStyle w:val="tpt1"/>
          <w:rFonts w:eastAsia="Arial" w:cs="Arial" w:ascii="Arial" w:hAnsi="Arial"/>
          <w:bCs/>
          <w:color w:val="auto"/>
          <w:spacing w:val="0"/>
          <w:w w:val="100"/>
          <w:sz w:val="20"/>
          <w:szCs w:val="20"/>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3" w:name="do|caIII|si2|ar15|al1|pt3"/>
      <w:bookmarkEnd w:id="23"/>
      <w:r>
        <w:rPr>
          <w:rStyle w:val="tpt1"/>
          <w:rFonts w:eastAsia="Arial" w:cs="Arial" w:ascii="Arial" w:hAnsi="Arial"/>
          <w:bCs/>
          <w:color w:val="auto"/>
          <w:spacing w:val="0"/>
          <w:w w:val="100"/>
          <w:sz w:val="20"/>
          <w:szCs w:val="20"/>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4" w:name="do|caIII|si2|ar15|al1|pt4"/>
      <w:bookmarkEnd w:id="24"/>
      <w:r>
        <w:rPr>
          <w:rStyle w:val="tpt1"/>
          <w:rFonts w:eastAsia="Arial" w:cs="Arial" w:ascii="Arial" w:hAnsi="Arial"/>
          <w:color w:val="auto"/>
          <w:spacing w:val="0"/>
          <w:w w:val="100"/>
          <w:sz w:val="20"/>
          <w:szCs w:val="20"/>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0"/>
          <w:numId w:val="23"/>
        </w:numPr>
        <w:spacing w:before="0" w:after="40"/>
        <w:jc w:val="left"/>
        <w:rPr>
          <w:rFonts w:ascii="Arial" w:hAnsi="Arial" w:cs="Arial"/>
          <w:sz w:val="18"/>
          <w:szCs w:val="18"/>
          <w:lang w:val="ro-RO"/>
        </w:rPr>
      </w:pPr>
      <w:bookmarkStart w:id="25" w:name="do|caIII|si2|ar15|al1|pt5"/>
      <w:bookmarkEnd w:id="25"/>
      <w:r>
        <w:rPr>
          <w:rStyle w:val="tpt1"/>
          <w:rFonts w:eastAsia="Arial" w:cs="Arial" w:ascii="Arial" w:hAnsi="Arial"/>
          <w:bCs/>
          <w:color w:val="auto"/>
          <w:spacing w:val="0"/>
          <w:w w:val="100"/>
          <w:sz w:val="20"/>
          <w:szCs w:val="20"/>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6" w:name="do|caIII|si2|ar15|al1|pt6"/>
      <w:bookmarkEnd w:id="26"/>
      <w:r>
        <w:rPr>
          <w:rStyle w:val="tpt1"/>
          <w:rFonts w:eastAsia="Arial" w:cs="Arial" w:ascii="Arial" w:hAnsi="Arial"/>
          <w:color w:val="auto"/>
          <w:spacing w:val="0"/>
          <w:w w:val="100"/>
          <w:sz w:val="20"/>
          <w:szCs w:val="20"/>
          <w:lang w:val="ro-RO"/>
        </w:rPr>
        <w:t>întocmirea unui necesar de documentații cu caracter tehnic de informare și instruire a lucrătorilor în domeniul securității și sănătății în muncă;</w:t>
      </w:r>
    </w:p>
    <w:p>
      <w:pPr>
        <w:pStyle w:val="Normal"/>
        <w:widowControl/>
        <w:numPr>
          <w:ilvl w:val="0"/>
          <w:numId w:val="23"/>
        </w:numPr>
        <w:spacing w:before="0" w:after="40"/>
        <w:jc w:val="left"/>
        <w:rPr>
          <w:rFonts w:ascii="Arial" w:hAnsi="Arial" w:cs="Arial"/>
          <w:sz w:val="18"/>
          <w:szCs w:val="18"/>
          <w:lang w:val="ro-RO"/>
        </w:rPr>
      </w:pPr>
      <w:bookmarkStart w:id="27" w:name="do|caIII|si2|ar15|al1|pt7"/>
      <w:bookmarkEnd w:id="27"/>
      <w:r>
        <w:rPr>
          <w:rStyle w:val="tpt1"/>
          <w:rFonts w:eastAsia="Arial" w:cs="Arial" w:ascii="Arial" w:hAnsi="Arial"/>
          <w:bCs/>
          <w:color w:val="auto"/>
          <w:spacing w:val="0"/>
          <w:w w:val="100"/>
          <w:sz w:val="20"/>
          <w:szCs w:val="20"/>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ro-RO"/>
        </w:rPr>
      </w:pPr>
      <w:bookmarkStart w:id="28" w:name="do|caIII|si2|ar15|al1|pt8"/>
      <w:bookmarkEnd w:id="28"/>
      <w:r>
        <w:rPr>
          <w:rStyle w:val="tpt1"/>
          <w:rFonts w:eastAsia="Arial" w:cs="Arial" w:ascii="Arial" w:hAnsi="Arial"/>
          <w:color w:val="auto"/>
          <w:spacing w:val="0"/>
          <w:w w:val="100"/>
          <w:sz w:val="20"/>
          <w:szCs w:val="20"/>
          <w:lang w:val="ro-RO"/>
        </w:rPr>
        <w:t>elaborarea programului de instruire-testare la nivelul unității;</w:t>
      </w:r>
    </w:p>
    <w:p>
      <w:pPr>
        <w:pStyle w:val="Normal"/>
        <w:widowControl/>
        <w:numPr>
          <w:ilvl w:val="0"/>
          <w:numId w:val="23"/>
        </w:numPr>
        <w:spacing w:before="0" w:after="40"/>
        <w:jc w:val="left"/>
        <w:rPr>
          <w:rFonts w:ascii="Arial" w:hAnsi="Arial" w:cs="Arial"/>
          <w:sz w:val="18"/>
          <w:szCs w:val="18"/>
          <w:lang w:val="ro-RO"/>
        </w:rPr>
      </w:pPr>
      <w:bookmarkStart w:id="29" w:name="do|caIII|si2|ar15|al1|pt9"/>
      <w:bookmarkEnd w:id="29"/>
      <w:r>
        <w:rPr>
          <w:rStyle w:val="tpt1"/>
          <w:rFonts w:eastAsia="Arial" w:cs="Arial" w:ascii="Arial" w:hAnsi="Arial"/>
          <w:color w:val="auto"/>
          <w:spacing w:val="0"/>
          <w:w w:val="100"/>
          <w:sz w:val="20"/>
          <w:szCs w:val="20"/>
          <w:lang w:val="ro-RO"/>
        </w:rPr>
        <w:t>asigurarea întocmirii planului de acțiune în caz de pericol grav și iminent, și asigurarea ca toți lucrătorii să fie instruiți pentru aplicarea lui;</w:t>
      </w:r>
    </w:p>
    <w:p>
      <w:pPr>
        <w:pStyle w:val="Normal"/>
        <w:widowControl/>
        <w:numPr>
          <w:ilvl w:val="0"/>
          <w:numId w:val="23"/>
        </w:numPr>
        <w:spacing w:before="0" w:after="40"/>
        <w:jc w:val="left"/>
        <w:rPr>
          <w:rFonts w:ascii="Arial" w:hAnsi="Arial" w:cs="Arial"/>
          <w:sz w:val="18"/>
          <w:szCs w:val="18"/>
          <w:lang w:val="it-CH"/>
        </w:rPr>
      </w:pPr>
      <w:bookmarkStart w:id="30" w:name="do|caIII|si2|ar15|al1|pt10"/>
      <w:bookmarkEnd w:id="30"/>
      <w:r>
        <w:rPr>
          <w:rStyle w:val="tpt1"/>
          <w:rFonts w:eastAsia="Arial" w:cs="Arial" w:ascii="Arial" w:hAnsi="Arial"/>
          <w:color w:val="auto"/>
          <w:spacing w:val="0"/>
          <w:w w:val="100"/>
          <w:sz w:val="20"/>
          <w:szCs w:val="20"/>
          <w:lang w:val="ro-RO"/>
        </w:rPr>
        <w:t>evidența zonelor cu risc ridicat și specific;</w:t>
      </w:r>
    </w:p>
    <w:p>
      <w:pPr>
        <w:pStyle w:val="Normal"/>
        <w:widowControl/>
        <w:numPr>
          <w:ilvl w:val="0"/>
          <w:numId w:val="23"/>
        </w:numPr>
        <w:spacing w:before="0" w:after="40"/>
        <w:jc w:val="left"/>
        <w:rPr>
          <w:rFonts w:ascii="Arial" w:hAnsi="Arial" w:cs="Arial"/>
          <w:sz w:val="18"/>
          <w:szCs w:val="18"/>
          <w:lang w:val="fr-FR"/>
        </w:rPr>
      </w:pPr>
      <w:bookmarkStart w:id="31" w:name="do|caIII|si2|ar15|al1|pt11"/>
      <w:bookmarkEnd w:id="31"/>
      <w:r>
        <w:rPr>
          <w:rStyle w:val="tpt1"/>
          <w:rFonts w:eastAsia="Arial" w:cs="Arial" w:ascii="Arial" w:hAnsi="Arial"/>
          <w:color w:val="auto"/>
          <w:spacing w:val="0"/>
          <w:w w:val="100"/>
          <w:sz w:val="20"/>
          <w:szCs w:val="20"/>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0"/>
          <w:numId w:val="23"/>
        </w:numPr>
        <w:spacing w:before="0" w:after="40"/>
        <w:jc w:val="left"/>
        <w:rPr>
          <w:rFonts w:ascii="Arial" w:hAnsi="Arial" w:cs="Arial"/>
          <w:b/>
          <w:sz w:val="18"/>
          <w:szCs w:val="18"/>
          <w:lang w:val="pt-PT"/>
        </w:rPr>
      </w:pPr>
      <w:bookmarkStart w:id="32" w:name="do|caIII|si2|ar15|al1|pt12"/>
      <w:bookmarkEnd w:id="32"/>
      <w:r>
        <w:rPr>
          <w:rStyle w:val="tpt1"/>
          <w:rFonts w:eastAsia="Arial" w:cs="Arial" w:ascii="Arial" w:hAnsi="Arial"/>
          <w:color w:val="auto"/>
          <w:spacing w:val="0"/>
          <w:w w:val="100"/>
          <w:sz w:val="20"/>
          <w:szCs w:val="20"/>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3" w:name="do|caIII|si2|ar15|al1|pt13"/>
      <w:bookmarkEnd w:id="33"/>
      <w:r>
        <w:rPr>
          <w:rStyle w:val="tpt1"/>
          <w:rFonts w:eastAsia="Arial" w:cs="Arial" w:ascii="Arial" w:hAnsi="Arial"/>
          <w:color w:val="auto"/>
          <w:spacing w:val="0"/>
          <w:w w:val="100"/>
          <w:sz w:val="20"/>
          <w:szCs w:val="20"/>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4" w:name="do|caIII|si2|ar15|al1|pt14"/>
      <w:bookmarkEnd w:id="34"/>
      <w:r>
        <w:rPr>
          <w:rStyle w:val="tpt1"/>
          <w:rFonts w:eastAsia="Arial" w:cs="Arial" w:ascii="Arial" w:hAnsi="Arial"/>
          <w:color w:val="auto"/>
          <w:spacing w:val="0"/>
          <w:w w:val="100"/>
          <w:sz w:val="20"/>
          <w:szCs w:val="20"/>
          <w:lang w:val="ro-RO"/>
        </w:rPr>
        <w:t>evidența posturilor de lucru care, la recomandarea medicului de medicina muncii, necesită testarea aptitudinilor și/ sau control psihologic periodic;</w:t>
      </w:r>
    </w:p>
    <w:p>
      <w:pPr>
        <w:pStyle w:val="Normal"/>
        <w:widowControl/>
        <w:numPr>
          <w:ilvl w:val="0"/>
          <w:numId w:val="23"/>
        </w:numPr>
        <w:spacing w:before="0" w:after="40"/>
        <w:jc w:val="left"/>
        <w:rPr>
          <w:rFonts w:ascii="Arial" w:hAnsi="Arial" w:cs="Arial"/>
          <w:sz w:val="18"/>
          <w:szCs w:val="18"/>
          <w:lang w:val="pt-PT"/>
        </w:rPr>
      </w:pPr>
      <w:bookmarkStart w:id="35" w:name="do|caIII|si2|ar15|al1|pt15"/>
      <w:bookmarkEnd w:id="35"/>
      <w:r>
        <w:rPr>
          <w:rStyle w:val="tpt1"/>
          <w:rFonts w:eastAsia="Arial" w:cs="Arial" w:ascii="Arial" w:hAnsi="Arial"/>
          <w:color w:val="auto"/>
          <w:spacing w:val="0"/>
          <w:w w:val="100"/>
          <w:sz w:val="20"/>
          <w:szCs w:val="20"/>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0"/>
          <w:numId w:val="23"/>
        </w:numPr>
        <w:spacing w:before="0" w:after="40"/>
        <w:jc w:val="left"/>
        <w:rPr>
          <w:rFonts w:ascii="Arial" w:hAnsi="Arial" w:cs="Arial"/>
          <w:sz w:val="18"/>
          <w:szCs w:val="18"/>
          <w:lang w:val="pt-PT"/>
        </w:rPr>
      </w:pPr>
      <w:bookmarkStart w:id="36" w:name="do|caIII|si2|ar15|al1|pt16"/>
      <w:bookmarkEnd w:id="36"/>
      <w:r>
        <w:rPr>
          <w:rStyle w:val="tpt1"/>
          <w:rFonts w:eastAsia="Arial" w:cs="Arial" w:ascii="Arial" w:hAnsi="Arial"/>
          <w:color w:val="auto"/>
          <w:spacing w:val="0"/>
          <w:w w:val="100"/>
          <w:sz w:val="20"/>
          <w:szCs w:val="20"/>
          <w:lang w:val="ro-RO"/>
        </w:rPr>
        <w:t>verificarea stării de funcționare a sistemelor de alarmare, avertizare, semnalizare de urgență, precum și a sistemelor de siguranță;</w:t>
      </w:r>
    </w:p>
    <w:p>
      <w:pPr>
        <w:pStyle w:val="Normal"/>
        <w:widowControl/>
        <w:numPr>
          <w:ilvl w:val="0"/>
          <w:numId w:val="23"/>
        </w:numPr>
        <w:spacing w:before="0" w:after="40"/>
        <w:jc w:val="left"/>
        <w:rPr>
          <w:rFonts w:ascii="Arial" w:hAnsi="Arial" w:cs="Arial"/>
          <w:sz w:val="18"/>
          <w:szCs w:val="18"/>
          <w:lang w:val="pt-PT"/>
        </w:rPr>
      </w:pPr>
      <w:bookmarkStart w:id="37" w:name="do|caIII|si2|ar15|al1|pt17"/>
      <w:bookmarkEnd w:id="37"/>
      <w:r>
        <w:rPr>
          <w:rStyle w:val="tpt1"/>
          <w:rFonts w:eastAsia="Arial" w:cs="Arial" w:ascii="Arial" w:hAnsi="Arial"/>
          <w:bCs/>
          <w:color w:val="auto"/>
          <w:spacing w:val="0"/>
          <w:w w:val="100"/>
          <w:sz w:val="20"/>
          <w:szCs w:val="20"/>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38" w:name="do|caIII|si2|ar15|al1|pt18"/>
      <w:bookmarkEnd w:id="38"/>
      <w:r>
        <w:rPr>
          <w:rStyle w:val="tpt1"/>
          <w:rFonts w:eastAsia="Arial" w:cs="Arial" w:ascii="Arial" w:hAnsi="Arial"/>
          <w:color w:val="auto"/>
          <w:spacing w:val="0"/>
          <w:w w:val="100"/>
          <w:sz w:val="20"/>
          <w:szCs w:val="20"/>
          <w:lang w:val="ro-RO"/>
        </w:rPr>
        <w:t xml:space="preserve">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0"/>
          <w:numId w:val="23"/>
        </w:numPr>
        <w:spacing w:before="0" w:after="40"/>
        <w:jc w:val="left"/>
        <w:rPr>
          <w:rFonts w:ascii="Arial" w:hAnsi="Arial" w:cs="Arial"/>
          <w:sz w:val="18"/>
          <w:szCs w:val="18"/>
          <w:lang w:val="pt-PT"/>
        </w:rPr>
      </w:pPr>
      <w:bookmarkStart w:id="39" w:name="do|caIII|si2|ar15|al1|pt19"/>
      <w:bookmarkEnd w:id="39"/>
      <w:r>
        <w:rPr>
          <w:rStyle w:val="tpt1"/>
          <w:rFonts w:eastAsia="Arial" w:cs="Arial" w:ascii="Arial" w:hAnsi="Arial"/>
          <w:color w:val="auto"/>
          <w:spacing w:val="0"/>
          <w:w w:val="100"/>
          <w:sz w:val="20"/>
          <w:szCs w:val="20"/>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0"/>
          <w:numId w:val="23"/>
        </w:numPr>
        <w:spacing w:before="0" w:after="40"/>
        <w:jc w:val="left"/>
        <w:rPr>
          <w:rFonts w:ascii="Arial" w:hAnsi="Arial" w:cs="Arial"/>
          <w:sz w:val="18"/>
          <w:szCs w:val="18"/>
          <w:lang w:val="pt-PT"/>
        </w:rPr>
      </w:pPr>
      <w:bookmarkStart w:id="40" w:name="do|caIII|si2|ar15|al1|pt20"/>
      <w:bookmarkEnd w:id="40"/>
      <w:r>
        <w:rPr>
          <w:rStyle w:val="tpt1"/>
          <w:rFonts w:eastAsia="Arial" w:cs="Arial" w:ascii="Arial" w:hAnsi="Arial"/>
          <w:color w:val="auto"/>
          <w:spacing w:val="0"/>
          <w:w w:val="100"/>
          <w:sz w:val="20"/>
          <w:szCs w:val="20"/>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lang w:val="pt-PT"/>
        </w:rPr>
      </w:pPr>
      <w:bookmarkStart w:id="41" w:name="do|caIII|si2|ar15|al1|pt21"/>
      <w:bookmarkEnd w:id="41"/>
      <w:r>
        <w:rPr>
          <w:rStyle w:val="tpt1"/>
          <w:rFonts w:eastAsia="Arial" w:cs="Arial" w:ascii="Arial" w:hAnsi="Arial"/>
          <w:color w:val="auto"/>
          <w:spacing w:val="0"/>
          <w:w w:val="100"/>
          <w:sz w:val="20"/>
          <w:szCs w:val="20"/>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0"/>
          <w:numId w:val="23"/>
        </w:numPr>
        <w:spacing w:before="0" w:after="40"/>
        <w:jc w:val="left"/>
        <w:rPr>
          <w:rFonts w:ascii="Arial" w:hAnsi="Arial" w:cs="Arial"/>
          <w:sz w:val="18"/>
          <w:szCs w:val="18"/>
        </w:rPr>
      </w:pPr>
      <w:bookmarkStart w:id="42" w:name="do|caIII|si2|ar15|al1|pt22"/>
      <w:bookmarkEnd w:id="42"/>
      <w:r>
        <w:rPr>
          <w:rStyle w:val="tpt1"/>
          <w:rFonts w:eastAsia="Arial" w:cs="Arial" w:ascii="Arial" w:hAnsi="Arial"/>
          <w:color w:val="auto"/>
          <w:spacing w:val="0"/>
          <w:w w:val="100"/>
          <w:sz w:val="20"/>
          <w:szCs w:val="20"/>
          <w:lang w:val="ro-RO"/>
        </w:rPr>
        <w:t>participarea la cercetarea evenimentelor;</w:t>
      </w:r>
    </w:p>
    <w:p>
      <w:pPr>
        <w:pStyle w:val="Normal"/>
        <w:widowControl/>
        <w:numPr>
          <w:ilvl w:val="0"/>
          <w:numId w:val="23"/>
        </w:numPr>
        <w:spacing w:before="0" w:after="40"/>
        <w:jc w:val="left"/>
        <w:rPr>
          <w:rFonts w:ascii="Arial" w:hAnsi="Arial" w:cs="Arial"/>
          <w:sz w:val="18"/>
          <w:szCs w:val="18"/>
        </w:rPr>
      </w:pPr>
      <w:bookmarkStart w:id="43" w:name="do|caIII|si2|ar15|al1|pt23"/>
      <w:bookmarkEnd w:id="43"/>
      <w:r>
        <w:rPr>
          <w:rStyle w:val="tpt1"/>
          <w:rFonts w:eastAsia="Arial" w:cs="Arial" w:ascii="Arial" w:hAnsi="Arial"/>
          <w:color w:val="auto"/>
          <w:spacing w:val="0"/>
          <w:w w:val="100"/>
          <w:sz w:val="20"/>
          <w:szCs w:val="20"/>
          <w:lang w:val="ro-RO"/>
        </w:rPr>
        <w:t>întocmirea evidențelor;</w:t>
      </w:r>
    </w:p>
    <w:p>
      <w:pPr>
        <w:pStyle w:val="Normal"/>
        <w:widowControl/>
        <w:numPr>
          <w:ilvl w:val="0"/>
          <w:numId w:val="23"/>
        </w:numPr>
        <w:spacing w:before="0" w:after="40"/>
        <w:jc w:val="left"/>
        <w:rPr>
          <w:rFonts w:ascii="Arial" w:hAnsi="Arial" w:cs="Arial"/>
          <w:sz w:val="18"/>
          <w:szCs w:val="18"/>
          <w:lang w:val="it-IT"/>
        </w:rPr>
      </w:pPr>
      <w:bookmarkStart w:id="44" w:name="do|caIII|si2|ar15|al1|pt24"/>
      <w:bookmarkEnd w:id="44"/>
      <w:r>
        <w:rPr>
          <w:rStyle w:val="tpt1"/>
          <w:rFonts w:eastAsia="Arial" w:cs="Arial" w:ascii="Arial" w:hAnsi="Arial"/>
          <w:color w:val="auto"/>
          <w:spacing w:val="0"/>
          <w:w w:val="100"/>
          <w:sz w:val="20"/>
          <w:szCs w:val="20"/>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 xml:space="preserve">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45" w:name="do|caIII|si2|ar15|al1|pt25"/>
      <w:bookmarkEnd w:id="45"/>
      <w:r>
        <w:rPr>
          <w:rStyle w:val="tpt1"/>
          <w:rFonts w:eastAsia="Arial" w:cs="Arial" w:ascii="Arial" w:hAnsi="Arial"/>
          <w:color w:val="auto"/>
          <w:spacing w:val="0"/>
          <w:w w:val="100"/>
          <w:sz w:val="20"/>
          <w:szCs w:val="20"/>
          <w:lang w:val="ro-RO"/>
        </w:rPr>
        <w:t>urmărirea realizării măsurilor dispuse de către inspectorii de muncă, cu prilejul vizitelor de control și al cercetării evenimentelor;</w:t>
      </w:r>
    </w:p>
    <w:p>
      <w:pPr>
        <w:pStyle w:val="Normal"/>
        <w:widowControl/>
        <w:numPr>
          <w:ilvl w:val="0"/>
          <w:numId w:val="23"/>
        </w:numPr>
        <w:spacing w:before="0" w:after="40"/>
        <w:jc w:val="left"/>
        <w:rPr>
          <w:rFonts w:ascii="Arial" w:hAnsi="Arial" w:cs="Arial"/>
          <w:sz w:val="18"/>
          <w:szCs w:val="18"/>
          <w:lang w:val="pt-PT"/>
        </w:rPr>
      </w:pPr>
      <w:bookmarkStart w:id="46" w:name="do|caIII|si2|ar15|al1|pt26"/>
      <w:bookmarkEnd w:id="46"/>
      <w:r>
        <w:rPr>
          <w:rStyle w:val="tpt1"/>
          <w:rFonts w:eastAsia="Arial" w:cs="Arial" w:ascii="Arial" w:hAnsi="Arial"/>
          <w:color w:val="auto"/>
          <w:spacing w:val="0"/>
          <w:w w:val="100"/>
          <w:sz w:val="20"/>
          <w:szCs w:val="20"/>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0"/>
          <w:numId w:val="23"/>
        </w:numPr>
        <w:spacing w:before="0" w:after="40"/>
        <w:jc w:val="left"/>
        <w:rPr>
          <w:rFonts w:ascii="Arial" w:hAnsi="Arial" w:cs="Arial"/>
          <w:sz w:val="18"/>
          <w:szCs w:val="18"/>
          <w:lang w:val="pt-PT"/>
        </w:rPr>
      </w:pPr>
      <w:bookmarkStart w:id="47" w:name="do|caIII|si2|ar15|al1|pt27"/>
      <w:bookmarkEnd w:id="47"/>
      <w:r>
        <w:rPr>
          <w:rStyle w:val="tpt1"/>
          <w:rFonts w:eastAsia="Arial" w:cs="Arial" w:ascii="Arial" w:hAnsi="Arial"/>
          <w:color w:val="auto"/>
          <w:spacing w:val="0"/>
          <w:w w:val="100"/>
          <w:sz w:val="20"/>
          <w:szCs w:val="20"/>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0"/>
          <w:numId w:val="23"/>
        </w:numPr>
        <w:spacing w:before="0" w:after="40"/>
        <w:jc w:val="left"/>
        <w:rPr>
          <w:rFonts w:ascii="Arial" w:hAnsi="Arial" w:cs="Arial"/>
          <w:sz w:val="18"/>
          <w:szCs w:val="18"/>
          <w:lang w:val="pt-PT"/>
        </w:rPr>
      </w:pPr>
      <w:bookmarkStart w:id="48" w:name="do|caIII|si2|ar15|al1|pt28"/>
      <w:bookmarkEnd w:id="48"/>
      <w:r>
        <w:rPr>
          <w:rStyle w:val="tpt1"/>
          <w:rFonts w:eastAsia="Arial" w:cs="Arial" w:ascii="Arial" w:hAnsi="Arial"/>
          <w:color w:val="auto"/>
          <w:spacing w:val="0"/>
          <w:w w:val="100"/>
          <w:sz w:val="20"/>
          <w:szCs w:val="20"/>
          <w:lang w:val="ro-RO"/>
        </w:rPr>
        <w:t>urmărirea actualizării planului de avertizare, a planului de protecție și prevenire și a planului de evacuare;</w:t>
      </w:r>
    </w:p>
    <w:p>
      <w:pPr>
        <w:pStyle w:val="Normal"/>
        <w:widowControl/>
        <w:numPr>
          <w:ilvl w:val="0"/>
          <w:numId w:val="23"/>
        </w:numPr>
        <w:spacing w:before="0" w:after="40"/>
        <w:jc w:val="left"/>
        <w:rPr>
          <w:rFonts w:ascii="Arial" w:hAnsi="Arial" w:cs="Arial"/>
          <w:sz w:val="18"/>
          <w:szCs w:val="18"/>
          <w:lang w:val="pt-PT"/>
        </w:rPr>
      </w:pPr>
      <w:bookmarkStart w:id="49" w:name="do|caIII|si2|ar15|al1|pt29"/>
      <w:bookmarkEnd w:id="49"/>
      <w:r>
        <w:rPr>
          <w:rStyle w:val="tpt1"/>
          <w:rFonts w:eastAsia="Arial" w:cs="Arial" w:ascii="Arial" w:hAnsi="Arial"/>
          <w:bCs/>
          <w:color w:val="auto"/>
          <w:spacing w:val="0"/>
          <w:w w:val="100"/>
          <w:sz w:val="20"/>
          <w:szCs w:val="20"/>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0"/>
          <w:numId w:val="23"/>
        </w:numPr>
        <w:spacing w:before="0" w:after="40"/>
        <w:jc w:val="left"/>
        <w:rPr>
          <w:rFonts w:ascii="Arial" w:hAnsi="Arial" w:cs="Arial"/>
          <w:sz w:val="18"/>
          <w:szCs w:val="18"/>
          <w:lang w:val="pt-PT"/>
        </w:rPr>
      </w:pPr>
      <w:bookmarkStart w:id="50" w:name="do|caIII|si2|ar15|al1|pt30"/>
      <w:bookmarkEnd w:id="50"/>
      <w:r>
        <w:rPr>
          <w:rStyle w:val="tpt1"/>
          <w:rFonts w:eastAsia="Arial" w:cs="Arial" w:ascii="Arial" w:hAnsi="Arial"/>
          <w:color w:val="auto"/>
          <w:spacing w:val="0"/>
          <w:w w:val="100"/>
          <w:sz w:val="20"/>
          <w:szCs w:val="20"/>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0"/>
          <w:numId w:val="23"/>
        </w:numPr>
        <w:spacing w:before="0" w:after="40"/>
        <w:jc w:val="left"/>
        <w:rPr>
          <w:rStyle w:val="tpt1"/>
          <w:rFonts w:ascii="Arial" w:hAnsi="Arial" w:cs="Arial"/>
          <w:sz w:val="18"/>
          <w:szCs w:val="18"/>
          <w:lang w:val="es-ES_tradnl"/>
        </w:rPr>
      </w:pPr>
      <w:bookmarkStart w:id="51" w:name="do|caIII|si2|ar15|al1|pt31"/>
      <w:bookmarkEnd w:id="51"/>
      <w:r>
        <w:rPr>
          <w:rStyle w:val="tpt1"/>
          <w:rFonts w:eastAsia="Arial" w:cs="Arial" w:ascii="Arial" w:hAnsi="Arial"/>
          <w:color w:val="auto"/>
          <w:spacing w:val="0"/>
          <w:w w:val="100"/>
          <w:sz w:val="20"/>
          <w:szCs w:val="20"/>
          <w:lang w:val="ro-RO"/>
        </w:rPr>
        <w:t>întocmirea unui necesar de mijloace materiale pentru desfășurarea acestor activități;</w:t>
      </w:r>
    </w:p>
    <w:p>
      <w:pPr>
        <w:pStyle w:val="Normal"/>
        <w:widowControl/>
        <w:numPr>
          <w:ilvl w:val="0"/>
          <w:numId w:val="23"/>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0"/>
          <w:numId w:val="23"/>
        </w:numPr>
        <w:spacing w:before="0" w:after="12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alte activități necesare/ specifice asigurării securității și sănătății lucrătorilor la locul de muncă.</w:t>
      </w:r>
    </w:p>
    <w:p>
      <w:pPr>
        <w:pStyle w:val="Normal"/>
        <w:keepNext w:val="true"/>
        <w:widowControl/>
        <w:tabs>
          <w:tab w:val="clear" w:pos="720"/>
          <w:tab w:val="left" w:pos="567" w:leader="none"/>
        </w:tabs>
        <w:spacing w:before="240" w:after="120"/>
        <w:ind w:hanging="0"/>
        <w:jc w:val="center"/>
        <w:rPr>
          <w:rStyle w:val="tpt1"/>
          <w:rFonts w:ascii="Arial" w:hAnsi="Arial" w:cs="Arial"/>
          <w:b/>
          <w:sz w:val="18"/>
          <w:szCs w:val="18"/>
          <w:lang w:val="fr-FR"/>
        </w:rPr>
      </w:pPr>
      <w:r>
        <w:rPr>
          <w:rFonts w:eastAsia="Arial" w:cs="Arial" w:ascii="Arial" w:hAnsi="Arial"/>
          <w:b/>
          <w:color w:val="auto"/>
          <w:spacing w:val="0"/>
          <w:w w:val="100"/>
          <w:sz w:val="20"/>
          <w:szCs w:val="20"/>
          <w:lang w:val="ro-RO"/>
        </w:rPr>
        <w:t xml:space="preserve">Capitolul XI. Informații privind </w:t>
      </w:r>
      <w:r>
        <w:rPr>
          <w:rStyle w:val="tpt1"/>
          <w:rFonts w:eastAsia="Arial" w:cs="Arial" w:ascii="Arial" w:hAnsi="Arial"/>
          <w:b/>
          <w:color w:val="auto"/>
          <w:spacing w:val="0"/>
          <w:w w:val="100"/>
          <w:sz w:val="20"/>
          <w:szCs w:val="20"/>
          <w:lang w:val="ro-RO"/>
        </w:rPr>
        <w:t>întocmirea regulamentului intern</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Sănătate și securitate în muncă, medicina muncii, situații de urgență și igiena muncii</w:t>
      </w:r>
      <w:r>
        <w:rPr>
          <w:rFonts w:eastAsia="Arial" w:cs="Arial" w:ascii="Arial" w:hAnsi="Arial"/>
          <w:color w:val="auto"/>
          <w:spacing w:val="0"/>
          <w:w w:val="100"/>
          <w:sz w:val="20"/>
          <w:szCs w:val="20"/>
          <w:lang w:val="ro-RO"/>
        </w:rPr>
        <w:t>:</w:t>
      </w:r>
    </w:p>
    <w:p>
      <w:pPr>
        <w:pStyle w:val="BodyTextIndent"/>
        <w:widowControl/>
        <w:numPr>
          <w:ilvl w:val="0"/>
          <w:numId w:val="7"/>
        </w:numPr>
        <w:spacing w:before="0" w:after="40"/>
        <w:ind w:right="0"/>
        <w:jc w:val="left"/>
        <w:rPr>
          <w:rFonts w:ascii="Arial" w:hAnsi="Arial" w:cs="Arial"/>
          <w:sz w:val="18"/>
          <w:szCs w:val="18"/>
          <w:lang w:val="ro-RO"/>
        </w:rPr>
      </w:pPr>
      <w:r>
        <w:rPr>
          <w:rFonts w:eastAsia="Arial" w:cs="Arial" w:ascii="Arial" w:hAnsi="Arial"/>
          <w:color w:val="auto"/>
          <w:spacing w:val="0"/>
          <w:w w:val="100"/>
          <w:sz w:val="20"/>
          <w:szCs w:val="20"/>
          <w:lang w:val="ro-RO"/>
        </w:rPr>
        <w:t>Angajatorul are obligația potrivit Legii 319/2006 să ia toate măsurile necesare pentru protejarea vieții și sănătății salariaților, pentru prevenirea riscurilor profesionale, pentru informarea și pregătirea lucrătorilor cu privire la aceste riscuri, organizarea securității și sănătății în muncă și a mijloacelor necesare acesteia.</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Măsurile privind securitatea și sănătatea în muncă nu pot să determine obligații financiare pentru lucrători.</w:t>
      </w:r>
    </w:p>
    <w:p>
      <w:pPr>
        <w:pStyle w:val="Normal"/>
        <w:keepNext/>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Instrucțiunile proprii și normativele interne de securitate și sănătate a muncii stabilesc:</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măsuri interne de securitate și sănătate a muncii pentru prevenirea accidentelor de muncă și a bolilor profesionale aplicabile tuturor lucrătorilor;</w:t>
      </w:r>
    </w:p>
    <w:p>
      <w:pPr>
        <w:pStyle w:val="Normal"/>
        <w:widowControl/>
        <w:numPr>
          <w:ilvl w:val="0"/>
          <w:numId w:val="16"/>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echipamentul de lucru și de protecție pe meserii și posturi de lucru.</w:t>
      </w:r>
    </w:p>
    <w:p>
      <w:pPr>
        <w:pStyle w:val="Heading4"/>
        <w:widowControl/>
        <w:numPr>
          <w:ilvl w:val="0"/>
          <w:numId w:val="7"/>
        </w:numPr>
        <w:spacing w:before="0" w:after="40"/>
        <w:ind w:right="0"/>
        <w:jc w:val="left"/>
        <w:rPr>
          <w:rFonts w:ascii="Arial" w:hAnsi="Arial" w:cs="Arial"/>
          <w:b w:val="false"/>
          <w:bCs/>
          <w:sz w:val="18"/>
          <w:szCs w:val="18"/>
          <w:lang w:val="it-IT"/>
        </w:rPr>
      </w:pPr>
      <w:r>
        <w:rPr>
          <w:rFonts w:eastAsia="Arial" w:cs="Arial" w:ascii="Arial" w:hAnsi="Arial"/>
          <w:b w:val="false"/>
          <w:bCs/>
          <w:color w:val="auto"/>
          <w:spacing w:val="0"/>
          <w:w w:val="100"/>
          <w:sz w:val="20"/>
          <w:szCs w:val="20"/>
          <w:lang w:val="ro-RO"/>
        </w:rPr>
        <w:t>Angajatorul are următoarele obligații în domeniul securității și sănătății muncii:</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evaluarea riscurilor pentru securitatea și sănătatea lucrătorilor în vederea stabilirii măsurilor de prevenire, incluzând echipamentul și amenajarea locului de muncă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dispună evaluarea riscurilor de accidentare și îmbolnăvire profesională pentru toate locurile de muncă;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solicite autorizarea funcționării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din punct de vedere al securității muncii, să mențină condițiile de lucru pentru care s-a obținut autorizație și să ceară revizuirea acesteia în cazul modificării condițiilor inițiale pentru care a fost emisă;</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stabilească măsurile tehnice și organizatorice de securitate a muncii, corespunzător condițiilor de muncă și factorilor de risc evaluați la locurile de muncă, pentru asigurarea securității și sănătății angajaților;</w:t>
      </w:r>
    </w:p>
    <w:p>
      <w:pPr>
        <w:pStyle w:val="Normal"/>
        <w:keepNext/>
        <w:widowControl/>
        <w:numPr>
          <w:ilvl w:val="0"/>
          <w:numId w:val="44"/>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ă asigure instruirea lucrătorilor în domeniul securității și sănătății în muncă. Aceasta este obligatorie pentru următoarele situații: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lucrătorii nou angajați;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lucrătorii care își schimbă locul de muncă sau felul muncii sau își reiau activitatea după o întrerupere mai mare de 6 luni;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lucrători terți;</w:t>
      </w:r>
    </w:p>
    <w:p>
      <w:pPr>
        <w:pStyle w:val="Normal"/>
        <w:widowControl/>
        <w:numPr>
          <w:ilvl w:val="1"/>
          <w:numId w:val="37"/>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studenți în practică.</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În toate aceste situații instruirea se realizează înainte de începerea efectivă a activității.</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 xml:space="preserve">Instruirea lucrătorilor este obligatorie și în situația în care intervin modificări ale legislației în domeniu, se introduce aparatura nouă în domeniul tehnicii de calcul sau alte domenii noi de activitate în cadrul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sau se schimbă procesul tehnologic.</w:t>
      </w:r>
    </w:p>
    <w:p>
      <w:pPr>
        <w:pStyle w:val="Normal"/>
        <w:keepNext/>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Astfel lucrătorul desemnat sau serviciul extern va trebui să: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stabilească în fișa postului atribuțiile și răspunderea angajaților în domeniul securității muncii, corespunzător funcțiilor exercitate;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prin personal propriu, cunoașterea și aplicarea de către toți angajații a măsurilor tehnice și organizatorice stabilite, precum și a prevederilor legale în domeniul securității muncii;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pentru angajații cu contract de muncă pe durată determinată același nivel de protecție de care beneficiază ceilalți angajați ai unității;</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ia măsuri pentru asigurarea de materiale necesare informării și educării angajaților: afișe, filme, cărți, broșuri, pliante, acte normative, manuale, teste, fișe tehnice de securitate etc.;</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măsurile necesare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widowControl/>
        <w:numPr>
          <w:ilvl w:val="0"/>
          <w:numId w:val="1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să angajeze numai persoane care, în urma controlului medical și al verificării aptitudinilor psihoprofesionale, corespund sarcinilor de muncă pe care urmează să le efectueze;</w:t>
      </w:r>
    </w:p>
    <w:p>
      <w:pPr>
        <w:pStyle w:val="Normal"/>
        <w:keepNext/>
        <w:widowControl/>
        <w:numPr>
          <w:ilvl w:val="0"/>
          <w:numId w:val="10"/>
        </w:numPr>
        <w:spacing w:before="0" w:after="120"/>
        <w:ind w:hanging="360" w:left="108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să asigure efectuarea și plata contravalorii:</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examenului medical la angajarea în muncă;</w:t>
      </w:r>
    </w:p>
    <w:p>
      <w:pPr>
        <w:pStyle w:val="Normal"/>
        <w:widowControl/>
        <w:numPr>
          <w:ilvl w:val="1"/>
          <w:numId w:val="10"/>
        </w:numPr>
        <w:spacing w:before="0" w:after="40"/>
        <w:ind w:left="1800" w:hanging="360"/>
        <w:jc w:val="left"/>
        <w:rPr>
          <w:rFonts w:ascii="Arial" w:hAnsi="Arial" w:cs="Arial"/>
          <w:bCs/>
          <w:sz w:val="18"/>
          <w:szCs w:val="18"/>
          <w:lang w:val="ro-RO"/>
        </w:rPr>
      </w:pPr>
      <w:r>
        <w:rPr>
          <w:rFonts w:eastAsia="Arial" w:cs="Arial" w:ascii="Arial" w:hAnsi="Arial"/>
          <w:bCs/>
          <w:color w:val="auto"/>
          <w:spacing w:val="0"/>
          <w:w w:val="100"/>
          <w:sz w:val="20"/>
          <w:szCs w:val="20"/>
          <w:lang w:val="ro-RO"/>
        </w:rPr>
        <w:t>controlului medical periodic;</w:t>
      </w:r>
    </w:p>
    <w:p>
      <w:pPr>
        <w:pStyle w:val="Normal"/>
        <w:widowControl/>
        <w:numPr>
          <w:ilvl w:val="0"/>
          <w:numId w:val="7"/>
        </w:numPr>
        <w:spacing w:before="0" w:after="40"/>
        <w:jc w:val="left"/>
        <w:rPr>
          <w:rFonts w:ascii="Arial" w:hAnsi="Arial" w:cs="Arial"/>
          <w:bCs/>
          <w:sz w:val="18"/>
          <w:szCs w:val="18"/>
          <w:lang w:val="ro-RO"/>
        </w:rPr>
      </w:pPr>
      <w:r>
        <w:rPr>
          <w:rFonts w:eastAsia="Arial" w:cs="Arial" w:ascii="Arial" w:hAnsi="Arial"/>
          <w:bCs/>
          <w:color w:val="auto"/>
          <w:spacing w:val="0"/>
          <w:w w:val="100"/>
          <w:sz w:val="20"/>
          <w:szCs w:val="20"/>
          <w:lang w:val="ro-RO"/>
        </w:rPr>
        <w:t>Aceste examene și controale medicale se vor efectua potrivit reglementărilor legale.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ia măsurile necesare informării compartimentului de securitate a muncii sau lucrătorului desemnat despre angajații care au relații de muncă cu durată determinată sau cu caracter interimar, pentru ca aceștia să fie incluși în programul de activitate care are ca scop asigurarea condițiilor de securitate și sănătate în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se asigure că sunt consultați angajații și/sau reprezentanții lor în problemele referitoare la măsurile și consecințele privind securitatea și sănătatea în muncă la introducerea de noi tehnologii, alegerea echipamentului tehnic, îmbunătățirea condițiilor și mediului de muncă, la desemnarea persoanelor cu atribuții privind primul ajutor, prevenirea și stingerea incendiilor, evacuarea angajaților, precum și la modul de desfășurare a activității de prevenire și protecție împotriva riscurilor profesionale, inclusiv a celei de instruire în domeniu;</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periodic sau ori de câte ori este cazul, verificarea încadrării nivelului noxelor în limitele admise, prin măsurători efectuate de către organismele abilitate (dacă este cazul);</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comunice, cerceteze, înregistreze, declare și să țină evidența accidentelor de muncă, a bolilor profesionale, a accidentelor tehnice și avariilor;</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către inspectorii de muncă în timpul controlului sau cercetării accidentelor de muncă;</w:t>
      </w:r>
    </w:p>
    <w:p>
      <w:pPr>
        <w:pStyle w:val="Normal"/>
        <w:widowControl/>
        <w:numPr>
          <w:ilvl w:val="0"/>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să asigure realizarea măsurilor stabilite de inspectorii de muncă, cu ocazia controalelor și accidentelor de muncă;</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echipamentul de lucru și protecție conform normativelor interne aprobate;</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anunțe imediat producerea de avarii tehnice, evenimente, accidente de muncă sau îmbolnăviri profesionale la inspectoratul teritorial de muncă și organele de urmărire penală competente, potrivit legii;</w:t>
      </w:r>
    </w:p>
    <w:p>
      <w:pPr>
        <w:pStyle w:val="Normal"/>
        <w:widowControl/>
        <w:numPr>
          <w:ilvl w:val="0"/>
          <w:numId w:val="40"/>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w:t>
      </w:r>
      <w:r>
        <w:rPr>
          <w:rFonts w:eastAsia="Arial" w:cs="Arial" w:ascii="Arial" w:hAnsi="Arial"/>
          <w:bCs/>
          <w:color w:val="auto"/>
          <w:spacing w:val="0"/>
          <w:w w:val="100"/>
          <w:sz w:val="20"/>
          <w:szCs w:val="20"/>
          <w:lang w:val="ro-RO"/>
        </w:rPr>
        <w:t xml:space="preserve">în cazul în care temperaturile atmosferice sau cele din spațiul de lucru sunt ridicate și pot afecta sănătatea (peste 30 °C)</w:t>
      </w:r>
      <w:r>
        <w:rPr>
          <w:rFonts w:eastAsia="Arial" w:cs="Arial" w:ascii="Arial" w:hAnsi="Arial"/>
          <w:bCs/>
          <w:color w:val="auto"/>
          <w:spacing w:val="0"/>
          <w:w w:val="100"/>
          <w:sz w:val="20"/>
          <w:szCs w:val="20"/>
          <w:lang w:val="ro-RO"/>
        </w:rPr>
        <w:t xml:space="preserve">, în funcție de posibilități, aer condiționat sau ventilație. În cazul în care acest lucru nu este posibil se va asigura un litru de apă minerală pe zi pentru fiecare salariat și/sau în raport cu timpul lucrat;</w:t>
      </w:r>
    </w:p>
    <w:p>
      <w:pPr>
        <w:pStyle w:val="Normal"/>
        <w:widowControl/>
        <w:numPr>
          <w:ilvl w:val="0"/>
          <w:numId w:val="40"/>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întocmească evidența nominală a angajaților cu handicap și a celor cu vârsta sub 18 ani;</w:t>
      </w:r>
    </w:p>
    <w:p>
      <w:pPr>
        <w:pStyle w:val="Normal"/>
        <w:widowControl/>
        <w:numPr>
          <w:ilvl w:val="0"/>
          <w:numId w:val="4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asigure securitatea și sănătatea în muncă a salariatelor gravide și/sau mame, lăuze sau care alăptează conform OUG nr. 96/2003 privind protecția maternității la locurile de muncă conform prevederilor capitolului 12.</w:t>
      </w:r>
    </w:p>
    <w:p>
      <w:pPr>
        <w:pStyle w:val="Normal"/>
        <w:keepNext/>
        <w:widowControl/>
        <w:numPr>
          <w:ilvl w:val="0"/>
          <w:numId w:val="7"/>
        </w:numPr>
        <w:spacing w:before="0" w:after="40"/>
        <w:ind w:right="-96"/>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Medicul de medicina</w:t>
      </w:r>
      <w:r>
        <w:rPr>
          <w:rFonts w:eastAsia="Arial" w:cs="Arial" w:ascii="Arial" w:hAnsi="Arial"/>
          <w:color w:val="auto"/>
          <w:spacing w:val="0"/>
          <w:w w:val="100"/>
          <w:sz w:val="20"/>
          <w:szCs w:val="20"/>
          <w:lang w:val="ro-RO"/>
        </w:rPr>
        <w:t xml:space="preserve"> muncii ce prestează aceste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are următoarele atribuții profesionale:</w:t>
      </w:r>
    </w:p>
    <w:p>
      <w:pPr>
        <w:pStyle w:val="Normal"/>
        <w:widowControl/>
        <w:numPr>
          <w:ilvl w:val="0"/>
          <w:numId w:val="30"/>
        </w:numPr>
        <w:spacing w:before="0" w:after="40"/>
        <w:ind w:hanging="360" w:left="1080" w:right="-96"/>
        <w:jc w:val="left"/>
        <w:rPr>
          <w:rFonts w:ascii="Arial" w:hAnsi="Arial" w:cs="Arial"/>
          <w:sz w:val="18"/>
          <w:szCs w:val="18"/>
          <w:lang w:val="fr-FR"/>
        </w:rPr>
      </w:pPr>
      <w:r>
        <w:rPr>
          <w:rFonts w:eastAsia="Arial" w:cs="Arial" w:ascii="Arial" w:hAnsi="Arial"/>
          <w:color w:val="auto"/>
          <w:spacing w:val="0"/>
          <w:w w:val="100"/>
          <w:sz w:val="20"/>
          <w:szCs w:val="20"/>
          <w:lang w:val="ro-RO"/>
        </w:rPr>
        <w:t xml:space="preserve">să participe la evaluarea riscurilor privind îmbolnăvirile;</w:t>
      </w:r>
    </w:p>
    <w:p>
      <w:pPr>
        <w:pStyle w:val="Normal"/>
        <w:keepNext/>
        <w:widowControl/>
        <w:numPr>
          <w:ilvl w:val="0"/>
          <w:numId w:val="3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monitorizeze starea de sănătate a angajaților prin:</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examene medicale la angajarea în muncă;</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de adaptare;</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control medical periodic;</w:t>
      </w:r>
    </w:p>
    <w:p>
      <w:pPr>
        <w:pStyle w:val="Normal"/>
        <w:widowControl/>
        <w:numPr>
          <w:ilvl w:val="1"/>
          <w:numId w:val="30"/>
        </w:numPr>
        <w:spacing w:before="0" w:after="40"/>
        <w:ind w:left="1800" w:hanging="360"/>
        <w:jc w:val="left"/>
        <w:rPr>
          <w:rFonts w:ascii="Arial" w:hAnsi="Arial" w:cs="Arial"/>
          <w:sz w:val="18"/>
          <w:szCs w:val="18"/>
          <w:lang w:val="es-ES"/>
        </w:rPr>
      </w:pPr>
      <w:r>
        <w:rPr>
          <w:rFonts w:eastAsia="Arial" w:cs="Arial" w:ascii="Arial" w:hAnsi="Arial"/>
          <w:color w:val="auto"/>
          <w:spacing w:val="0"/>
          <w:w w:val="100"/>
          <w:sz w:val="20"/>
          <w:szCs w:val="20"/>
          <w:lang w:val="ro-RO"/>
        </w:rPr>
        <w:t>examen medical la reluarea activității;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îndrume activitatea de reabilitare profesională, reconversia profesională, reorientarea profesională în caz de accident de muncă, boală profesională, boală legată de profesie sau după afecțiuni cronice;</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existența riscului de îmbolnăvire profesională către toți factorii implicați în procesul muncii;</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privind adaptarea muncii și a locului de muncă la caracteristicile psihofiziologice ale angajaților;</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consilieze angajatorul pentru fundamentarea strategiei de securitate și sănătate la locul de muncă;</w:t>
      </w:r>
    </w:p>
    <w:p>
      <w:pPr>
        <w:pStyle w:val="Normal"/>
        <w:widowControl/>
        <w:numPr>
          <w:ilvl w:val="0"/>
          <w:numId w:val="3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participe la sistemul informațional național privind accidentele de muncă și bolile profesionale.</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Pentru asigurarea atribuțiilor ce revin structurilor medicale de medicina muncii, angajatorul va lua următoarele măsuri:</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angajarea lucrătorilor numai după un examen medical prealabil, cu confirmarea scrisă a medicului de medicina muncii că locul de muncă sau meseria propusă nu este contraindicată din punct de vedere medical viitorului angajat;</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programarea, cu acordul personalului medical, a controlului medical periodic al lucrătorilor, potrivit reglementărilor tehnice ale Ministerului Sănătății Publice, și urmărirea efectuării integrale a acestuia;</w:t>
      </w:r>
    </w:p>
    <w:p>
      <w:pPr>
        <w:pStyle w:val="Normal"/>
        <w:widowControl/>
        <w:numPr>
          <w:ilvl w:val="0"/>
          <w:numId w:val="4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respectarea recomandărilor medicale rezultate în urma examenelor la angajare, a controalelor medicale de adaptare și periodice și a examenului medical la reluarea activității.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Angajatorii nu au dreptul să intervină prin niciun mijloc în influențarea activității medicale, a conținutului acesteia, a concluziilor și măsurilor medicale stabilite.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Medicul de medicină a muncii ce prestează servicii pentru angajații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organizează primul ajutor și tratamentul de urgență și instruiește lucrătorii cu privire la aplicarea metodelor accesibile lor de prim ajutor și a procedurilor de urgență în cazul accidentelor de muncă.</w:t>
      </w:r>
    </w:p>
    <w:p>
      <w:pPr>
        <w:pStyle w:val="Normal"/>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Angajatorul va cere medicului de medicină a muncii să evalueze aptitudinea pentru muncă în relație cu starea de sănătate și să propună adaptarea muncii la posibilitățile lucrătorilor, asigurând:</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evaluarea handicapului în relație cu munca;</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managementul clinic în procesul de recuperare a capacității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aplicarea principiilor ergonomiei în procesul de reabilitare;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colaborarea cu specialistul în psihologia muncii în vederea reabilitării angajaților cu probleme de sănătate mentală datorate unor factori aferenți procesului muncii și relațiilor interumane de la locul de muncă;</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măsurile adecvate privind sănătatea și securitatea în muncă a angajaților cu probleme speciale legate de utilizarea de droguri și consumul de alcool;</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în probleme de reabilitare și reangajare;</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consilierea cu privire la menținerea în muncă a angajaților vârstnici și a celor cu dizabilități;</w:t>
      </w:r>
    </w:p>
    <w:p>
      <w:pPr>
        <w:pStyle w:val="Normal"/>
        <w:widowControl/>
        <w:numPr>
          <w:ilvl w:val="2"/>
          <w:numId w:val="4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promovarea capacității de muncă, a sănătății, îndemânării și antrenamentului în relație cu cerințele muncii.</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medicină a muncii consiliază angajatorul asupra unei bune adaptări a muncii la posibilitățile angajatului în circumstanțele speciale ale unor grupuri vulnerabile: femei gravide, mame în perioada de alăptare, adolescenți, vârstnici și persoane cu handicap.</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Medicul de medicina muncii și medicul cu competență de medicină a muncii sunt obligați să prezinte comitetului de securitate și sănătate în muncă, rapoarte scrise cu privire la situația stării de sănătate a angajaților în relație cu condițiile de muncă și riscurile profesionale, la acțiunile medicale întreprinse și eficiența acestora.</w:t>
      </w:r>
    </w:p>
    <w:p>
      <w:pPr>
        <w:pStyle w:val="normal1"/>
        <w:keepN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Înregistrările medicale vor fi păstrate o perioadă cel puțin egală cu durata medie de expunere-afectare a sănătății pentru fiecare categorie de risc profesional, astfel: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serviciul de medicina muncii va păstra dosarul medical individual;</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angajatorul va păstra sinteza examinărilor medicale;</w:t>
      </w:r>
    </w:p>
    <w:p>
      <w:pPr>
        <w:pStyle w:val="normal1"/>
        <w:widowControl/>
        <w:numPr>
          <w:ilvl w:val="0"/>
          <w:numId w:val="4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angajatul va păstra concluzia examinării medicale.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vederea respectării cerințelor privind asigurarea serviciului medical de medicină a muncii lucrătorii care lucrează în cadrul societății sunt obligați să efectueze un examen medical periodic ce are ca scop:</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confirmarea sau infirmarea aptitudinii în muncă pentru profesia/funcția și locul de muncă pentru care s-a făcut angajarea;</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profesionale;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diagnosticarea bolilor legate de profesie;</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depistarea bolilor care ar constitui risc pentru viață și sănătatea celorlalți angajați la același loc de muncă; depistarea bolilor care ar constitui risc pentru securitatea unității, pentru calitatea produselor sau pentru populația cu care angajatul vine în contact prin natura activității sale.</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Pregătirea și instruirea în domeniul securității și sănătății muncii și situațiilor de urgență are ca scop însușirea cunoștințelor și formarea deprinderilor de securitate și sănătate în muncă și situațiilor de urgență.</w:t>
      </w:r>
    </w:p>
    <w:p>
      <w:pPr>
        <w:pStyle w:val="Normal"/>
        <w:keepNext/>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privind sănătatea și securitatea muncii și situațiilor de urgență cuprinde 3 faze:</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la locul de muncă</w:t>
      </w:r>
    </w:p>
    <w:p>
      <w:pPr>
        <w:pStyle w:val="Normal"/>
        <w:widowControl/>
        <w:numPr>
          <w:ilvl w:val="0"/>
          <w:numId w:val="18"/>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instruirea periodică</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Lucrătorii care efectuează instruirea trebuie să fie specialiști în securitate și sănătate în muncă și să aibă terminate cursurile de securitatea muncii necesare nivelului cerut de lege.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introductiv-generală se face tuturor lucrătorilor care au raporturi de muncă cu societatea fie prin angajare, fie prin detașare de la altă societate, la intrarea în societate.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Instruirea de securitate și sănătate a muncii se efectuează de către conducătorul locului de muncă sau de către serviciul extern de prevenire și protecție, potrivit tematicii de instruire.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introductivă durează cf. deciziei și planificării interne și în cadrul său se prezintă: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riscurile de accidentare și îmbolnăvire profesională specifice unității;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legislația de sănătate și securitate în muncă în vigoare;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consecințele posibile ale necunoașterii și nerespectării legislației de protecție a muncii;</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măsuri tehnico-organizatorice de prevenire, alarmare, intervenție, evacuare și prim ajutor;</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legislația de sănătate și securitate în muncă;</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instrucțiunile proprii la nivelul societății;</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regulamentul intern;</w:t>
      </w:r>
    </w:p>
    <w:p>
      <w:pPr>
        <w:pStyle w:val="Normal"/>
        <w:widowControl/>
        <w:numPr>
          <w:ilvl w:val="0"/>
          <w:numId w:val="4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contractul colectiv de muncă.</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Instruirea periodică se face tuturor lucrătorilor angajați sau detașați.</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Instruirea periodică se efectuează de către conducătorul locului de muncă sau de către serviciul extern de prevenire și protecție, potrivit tematicii de instruire.</w:t>
      </w:r>
    </w:p>
    <w:p>
      <w:pPr>
        <w:pStyle w:val="Normal"/>
        <w:widowControl/>
        <w:numPr>
          <w:ilvl w:val="0"/>
          <w:numId w:val="7"/>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Instructajul periodic durează {{training.periodicDuration}} și va avea frecvența stabilită prin instrucțiunile proprii ale societății.</w:t>
      </w:r>
    </w:p>
    <w:p>
      <w:pPr>
        <w:pStyle w:val="Normal"/>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Prezentul capitol se completează cu prevederile Legii 319/ 2006 și H.G. 1425/ 2006.</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b/>
          <w:color w:val="auto"/>
          <w:spacing w:val="0"/>
          <w:w w:val="100"/>
          <w:sz w:val="20"/>
          <w:szCs w:val="20"/>
          <w:lang w:val="ro-RO"/>
        </w:rPr>
        <w:t>Unitatea</w:t>
      </w:r>
      <w:r>
        <w:rPr>
          <w:rFonts w:eastAsia="Arial" w:cs="Arial" w:ascii="Arial" w:hAnsi="Arial"/>
          <w:color w:val="auto"/>
          <w:spacing w:val="0"/>
          <w:w w:val="100"/>
          <w:sz w:val="20"/>
          <w:szCs w:val="20"/>
          <w:lang w:val="ro-RO"/>
        </w:rPr>
        <w:t xml:space="preserve"> are obligația de întocmire și actualizare a documentelor de organizare a activității de apărare împotriva incendiilor conform Legii 307.</w:t>
      </w:r>
    </w:p>
    <w:p>
      <w:pPr>
        <w:pStyle w:val="Normal"/>
        <w:widowControl/>
        <w:numPr>
          <w:ilvl w:val="0"/>
          <w:numId w:val="7"/>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Angajatorul sau persoana desemnată de acesta are obligația de întocmire a tematicilor anuale de instruire a lucrătorilor și instruirea acestora în domeniul prevenirii și stingerii incendiilor conform Dispoziției MAI privind instruirea salariaților în domeniul situațiilor de urgență.</w:t>
      </w:r>
    </w:p>
    <w:p>
      <w:pPr>
        <w:pStyle w:val="Normal"/>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 listei cu substanțele periculoase clasificate astfel conform legii.</w:t>
      </w:r>
    </w:p>
    <w:p>
      <w:pPr>
        <w:pStyle w:val="BodyText2"/>
        <w:widowControl/>
        <w:numPr>
          <w:ilvl w:val="0"/>
          <w:numId w:val="7"/>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Întocmirea/actualizarea planului de intervenție în caz de incendiu conform legislației actuale.</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inscripționării cu indicatoare de avertizare a locurilor periculoase și surselor de alimentare cu apă, locului pentru fumat, căilor de evacuare etc.</w:t>
      </w:r>
    </w:p>
    <w:p>
      <w:pPr>
        <w:pStyle w:val="BodyText"/>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Asigurarea mijloacelor tehnice, echipamentelor de protecție, substanțelor chimice de stingere care sunt specifice riscurilor care decurg din existența și funcționarea unității, precum și a medicamentelor și antidotului necesare acordării primului ajutor, conform art. 19, alin. (1), litera o din Legea nr. 307 din 12.07.2006.</w:t>
      </w:r>
    </w:p>
    <w:p>
      <w:pPr>
        <w:pStyle w:val="Normal"/>
        <w:widowControl/>
        <w:numPr>
          <w:ilvl w:val="0"/>
          <w:numId w:val="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Prelucrarea actelor normative noi apărute care reglementează activitatea de apărare împotriva incendiilor, a Legii nr. 307/2006 și a altor acte normative subsecvente acesteia.</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Obligațiile și drepturile lucrătorilor privind securitatea și sănătatea în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să-și însușească și să respecte normele și instrucțiunile de securitate a muncii și măsurile de aplicare a acestora;</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corect echipamentele tehnice și celelalte mijloace și echipamente;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aducă la cunoștința conducătorului locului de muncă orice defecțiune sau altă situație care constituie un pericol de accidentare sau îmbolnăvire profesională;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oprească lucrul la apariția unui pericol iminent de producere a unui accident și să informeze imediat conducătorul locului de muncă;</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să refuze întemeiat executarea unei sarcini de muncă dacă aceasta ar pune în pericol de accidentare sau îmbolnăvire profesională persoana sa sau a celorlalți participanți în procesul de producție;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utilizeze echipamentul individual de protecție din dotare, corespunzător scopului pentru care a fost acordat;</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au dreptul să ceară angajatorului să ia măsurile cele mai potrivite și să prezinte acestuia propunerile lor de măsuri pentru eliminarea sau reducerea riscurilor de accidente și îmbolnăvire profesională.</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 xml:space="preserve">Reprezentantul lucrătorilor cu răspunderi specifice în domeniul securității și sănătății în muncă este </w:t>
      </w:r>
      <w:r>
        <w:rPr>
          <w:rFonts w:eastAsia="Arial" w:cs="Arial" w:ascii="Arial" w:hAnsi="Arial"/>
          <w:color w:val="auto"/>
          <w:spacing w:val="0"/>
          <w:w w:val="100"/>
          <w:sz w:val="20"/>
          <w:szCs w:val="20"/>
          <w:lang w:val="ro-RO"/>
        </w:rPr>
        <w:t>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{{#workersRepresentativeDecision}}Reprezentanții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sunt desemnați prin decizia internă privind reprezentanții lucrătorilor.{{/workersRepresentativeDecision}}</w:t>
      </w:r>
      <w:r>
        <w:rPr>
          <w:rStyle w:val="tpa1"/>
          <w:rFonts w:eastAsia="Arial" w:cs="Arial" w:ascii="Arial" w:hAnsi="Arial"/>
          <w:color w:val="auto"/>
          <w:spacing w:val="0"/>
          <w:w w:val="100"/>
          <w:sz w:val="20"/>
          <w:szCs w:val="20"/>
          <w:lang w:val="ro-RO"/>
        </w:rPr>
        <w:t xml:space="preserve">{{^workersRepresentativeDecision}}Numărul de reprezentanți ai lucrătorilor cu răspunderi specifice în domeniul securității și sănătății în muncă pentru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nu este stabilit, deoarece nu se încadrează conform HG 1425/ 2006 art. 60, alin. (2), litera c).{{/workersRepresentativeDecision}}</w:t>
      </w:r>
    </w:p>
    <w:p>
      <w:pPr>
        <w:pStyle w:val="Normal"/>
        <w:widowControl/>
        <w:numPr>
          <w:ilvl w:val="0"/>
          <w:numId w:val="7"/>
        </w:numPr>
        <w:spacing w:before="0" w:after="4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Reprezentanții lucrătorilor cu răspunderi specifice în domeniul securității și sănătății în muncă sunt aleși de către și dintre lucrătorii din unitate, conform celor stabilite prin 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keepNext/>
        <w:widowControl/>
        <w:numPr>
          <w:ilvl w:val="0"/>
          <w:numId w:val="7"/>
        </w:numPr>
        <w:spacing w:before="0" w:after="40"/>
        <w:jc w:val="left"/>
        <w:rPr>
          <w:rStyle w:val="tli1"/>
          <w:rFonts w:ascii="Arial" w:hAnsi="Arial" w:cs="Arial"/>
          <w:sz w:val="18"/>
          <w:szCs w:val="18"/>
          <w:lang w:val="it-IT"/>
        </w:rPr>
      </w:pPr>
      <w:r>
        <w:rPr>
          <w:rStyle w:val="tal1"/>
          <w:rFonts w:eastAsia="Arial" w:cs="Arial" w:ascii="Arial" w:hAnsi="Arial"/>
          <w:color w:val="auto"/>
          <w:spacing w:val="0"/>
          <w:w w:val="100"/>
          <w:sz w:val="20"/>
          <w:szCs w:val="20"/>
          <w:lang w:val="ro-RO"/>
        </w:rPr>
        <w:t xml:space="preserve">Angajatorul va acorda fiecărui reprezentant al lucrătorilor în comitetele de securitate și sănătate în muncă timpul necesar exercitării atribuțiilor specifice.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Style w:val="tal1"/>
          <w:rFonts w:ascii="Arial" w:hAnsi="Arial" w:cs="Arial"/>
          <w:sz w:val="18"/>
          <w:szCs w:val="18"/>
        </w:rPr>
      </w:pPr>
      <w:r>
        <w:rPr>
          <w:rStyle w:val="tal1"/>
          <w:rFonts w:eastAsia="Arial" w:cs="Arial" w:ascii="Arial" w:hAnsi="Arial"/>
          <w:color w:val="auto"/>
          <w:spacing w:val="0"/>
          <w:w w:val="100"/>
          <w:sz w:val="20"/>
          <w:szCs w:val="20"/>
          <w:lang w:val="ro-RO"/>
        </w:rPr>
        <w:t xml:space="preserve">Conform HG 1425/ 2006, art. 55, reprezentanții lucrătorilor cu răspunderi specifice în domeniul securității și sănătății în muncă trebuie să urmeze un program de pregătire în domeniul securității și sănătății în muncă, cu o durată de cel puțin 40 de ore, cu conținutul minim conform celui prevăzut în anexa nr. 6 lit. A; îndeplinirea cerinței se atestă printr-un document de absolvire a programului de pregătire.</w:t>
      </w:r>
    </w:p>
    <w:p>
      <w:pPr>
        <w:pStyle w:val="Normal"/>
        <w:keepNext/>
        <w:widowControl/>
        <w:numPr>
          <w:ilvl w:val="0"/>
          <w:numId w:val="7"/>
        </w:numPr>
        <w:spacing w:before="0" w:after="4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M</w:t>
      </w:r>
      <w:r>
        <w:rPr>
          <w:rStyle w:val="tal1"/>
          <w:rFonts w:eastAsia="Arial" w:cs="Arial" w:ascii="Arial" w:hAnsi="Arial"/>
          <w:color w:val="auto"/>
          <w:spacing w:val="0"/>
          <w:w w:val="100"/>
          <w:sz w:val="20"/>
          <w:szCs w:val="20"/>
          <w:lang w:val="ro-RO"/>
        </w:rPr>
        <w:t xml:space="preserve">odalitatea de desemnare a reprezentanților lucrătorilor </w:t>
      </w:r>
      <w:r>
        <w:rPr>
          <w:rStyle w:val="tpa1"/>
          <w:rFonts w:eastAsia="Arial" w:cs="Arial" w:ascii="Arial" w:hAnsi="Arial"/>
          <w:color w:val="auto"/>
          <w:spacing w:val="0"/>
          <w:w w:val="100"/>
          <w:sz w:val="20"/>
          <w:szCs w:val="20"/>
          <w:lang w:val="ro-RO"/>
        </w:rPr>
        <w:t>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cu ocazia adunării generale a salariaților, se vor întruni pentru a alege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lucrătorii din cadrul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 xml:space="preserve">, cu ocazia adunării generale a salariaților, vor hotărî prin vot secret </w:t>
      </w:r>
      <w:r>
        <w:rPr>
          <w:rStyle w:val="tal1"/>
          <w:rFonts w:eastAsia="Arial" w:cs="Arial" w:ascii="Arial" w:hAnsi="Arial"/>
          <w:color w:val="auto"/>
          <w:spacing w:val="0"/>
          <w:w w:val="100"/>
          <w:sz w:val="20"/>
          <w:szCs w:val="20"/>
          <w:lang w:val="ro-RO"/>
        </w:rPr>
        <w:t xml:space="preserve">reprezentanții lucrătorilor </w:t>
      </w:r>
      <w:r>
        <w:rPr>
          <w:rStyle w:val="tpa1"/>
          <w:rFonts w:eastAsia="Arial" w:cs="Arial" w:ascii="Arial" w:hAnsi="Arial"/>
          <w:color w:val="auto"/>
          <w:spacing w:val="0"/>
          <w:w w:val="100"/>
          <w:sz w:val="20"/>
          <w:szCs w:val="20"/>
          <w:lang w:val="ro-RO"/>
        </w:rPr>
        <w:t xml:space="preserve">cu răspunderi specifice în domeniul securității și sănătății în muncă, potrivit listei de semnături ce constituie anexa la procesul-verbal de întrunire a adunării generale a salariaților;</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procesul-verbal de întrunire a adunării generale a salariaților va fi încheiat în 3 (trei) exemplare, din care un exemplar pentru reprezentanții salariaților și două exemplare la angajator sau la persoana desemnată de acesta;</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pentru ca alegerea să fie validată fiecare reprezentant al lucrătorilor cu răspunderi specifice în domeniul securității și sănătății în muncă va trebui să fie ales de cel puțin 50 % + 1 din totalul numărului de angajați ai </w:t>
      </w:r>
      <w:r>
        <w:rPr>
          <w:rStyle w:val="tpa1"/>
          <w:rFonts w:eastAsia="Arial" w:cs="Arial" w:ascii="Arial" w:hAnsi="Arial"/>
          <w:b/>
          <w:bCs/>
          <w:color w:val="auto"/>
          <w:spacing w:val="0"/>
          <w:w w:val="100"/>
          <w:sz w:val="20"/>
          <w:szCs w:val="20"/>
          <w:lang w:val="ro-RO"/>
        </w:rPr>
        <w:t>{{client.legalName}}</w:t>
      </w:r>
      <w:r>
        <w:rPr>
          <w:rStyle w:val="tpa1"/>
          <w:rFonts w:eastAsia="Arial" w:cs="Arial" w:ascii="Arial" w:hAnsi="Arial"/>
          <w:color w:val="auto"/>
          <w:spacing w:val="0"/>
          <w:w w:val="100"/>
          <w:sz w:val="20"/>
          <w:szCs w:val="20"/>
          <w:lang w:val="ro-RO"/>
        </w:rPr>
        <w:t>;</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angajatorul, după alegeri, va desemna prin decizie scrisă, reprezentanții lucrătorilor cu răspunderi specifice în domeniul securității și sănătății în muncă;</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atribuțiile reprezentanților lucrătorilor cu răspunderi specifice în domeniul securității și sănătății în muncă vor fi specificate în fișa postului pentru fiecare lucrător ales.</w:t>
      </w:r>
    </w:p>
    <w:p>
      <w:pPr>
        <w:pStyle w:val="Normal"/>
        <w:widowControl/>
        <w:numPr>
          <w:ilvl w:val="0"/>
          <w:numId w:val="7"/>
        </w:numPr>
        <w:spacing w:before="0" w:after="40"/>
        <w:jc w:val="left"/>
        <w:rPr>
          <w:rStyle w:val="al1"/>
          <w:rFonts w:ascii="Arial" w:hAnsi="Arial" w:cs="Arial"/>
          <w:b w:val="false"/>
          <w:bCs w:val="false"/>
          <w:color w:val="000000"/>
          <w:sz w:val="18"/>
          <w:szCs w:val="18"/>
          <w:lang w:val="it-IT"/>
        </w:rPr>
      </w:pPr>
      <w:r>
        <w:rPr>
          <w:rStyle w:val="al1"/>
          <w:rFonts w:eastAsia="Arial" w:cs="Arial" w:ascii="Arial" w:hAnsi="Arial"/>
          <w:b w:val="false"/>
          <w:bCs w:val="false"/>
          <w:color w:val="auto"/>
          <w:spacing w:val="0"/>
          <w:w w:val="100"/>
          <w:sz w:val="20"/>
          <w:szCs w:val="20"/>
          <w:lang w:val="ro-RO"/>
        </w:rPr>
        <w:t>Adunarea generală a salariaților va fi efectuată ori de câte ori va fi necesar prin convocare, afișare la avizierul unității și informarea directă a reprezentanților salariaților.</w:t>
      </w:r>
    </w:p>
    <w:p>
      <w:pPr>
        <w:pStyle w:val="Normal"/>
        <w:widowControl/>
        <w:numPr>
          <w:ilvl w:val="0"/>
          <w:numId w:val="7"/>
        </w:numPr>
        <w:spacing w:before="0" w:after="40"/>
        <w:jc w:val="left"/>
        <w:rPr>
          <w:rStyle w:val="tal1"/>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Având în vedere că </w:t>
      </w:r>
      <w:r>
        <w:rPr>
          <w:rStyle w:val="al1"/>
          <w:rFonts w:eastAsia="Arial" w:cs="Arial" w:ascii="Arial" w:hAnsi="Arial"/>
          <w:bCs w:val="false"/>
          <w:color w:val="auto"/>
          <w:spacing w:val="0"/>
          <w:w w:val="100"/>
          <w:sz w:val="20"/>
          <w:szCs w:val="20"/>
          <w:lang w:val="ro-RO"/>
        </w:rPr>
        <w:t>{{client.legalName}}</w:t>
      </w:r>
      <w:r>
        <w:rPr>
          <w:rStyle w:val="al1"/>
          <w:rFonts w:eastAsia="Arial" w:cs="Arial" w:ascii="Arial" w:hAnsi="Arial"/>
          <w:b w:val="false"/>
          <w:color w:val="auto"/>
          <w:spacing w:val="0"/>
          <w:w w:val="100"/>
          <w:sz w:val="20"/>
          <w:szCs w:val="20"/>
          <w:lang w:val="ro-RO"/>
        </w:rPr>
        <w:t xml:space="preserve"> are un număr mediu de sub </w:t>
      </w:r>
      <w:r>
        <w:rPr>
          <w:rStyle w:val="al1"/>
          <w:rFonts w:eastAsia="Arial" w:cs="Arial" w:ascii="Arial" w:hAnsi="Arial"/>
          <w:color w:val="auto"/>
          <w:spacing w:val="0"/>
          <w:w w:val="100"/>
          <w:sz w:val="20"/>
          <w:szCs w:val="20"/>
          <w:lang w:val="ro-RO"/>
        </w:rPr>
        <w:t>50</w:t>
      </w:r>
      <w:r>
        <w:rPr>
          <w:rStyle w:val="al1"/>
          <w:rFonts w:eastAsia="Arial" w:cs="Arial" w:ascii="Arial" w:hAnsi="Arial"/>
          <w:b w:val="false"/>
          <w:color w:val="auto"/>
          <w:spacing w:val="0"/>
          <w:w w:val="100"/>
          <w:sz w:val="20"/>
          <w:szCs w:val="20"/>
          <w:lang w:val="ro-RO"/>
        </w:rPr>
        <w:t xml:space="preserve"> de lucrători, </w:t>
      </w:r>
      <w:r>
        <w:rPr>
          <w:rStyle w:val="al1"/>
          <w:rFonts w:eastAsia="Arial" w:cs="Arial" w:ascii="Arial" w:hAnsi="Arial"/>
          <w:color w:val="auto"/>
          <w:spacing w:val="0"/>
          <w:w w:val="100"/>
          <w:sz w:val="20"/>
          <w:szCs w:val="20"/>
          <w:lang w:val="ro-RO"/>
        </w:rPr>
        <w:t>NU</w:t>
      </w:r>
      <w:r>
        <w:rPr>
          <w:rStyle w:val="al1"/>
          <w:rFonts w:eastAsia="Arial" w:cs="Arial" w:ascii="Arial" w:hAnsi="Arial"/>
          <w:b w:val="false"/>
          <w:color w:val="auto"/>
          <w:spacing w:val="0"/>
          <w:w w:val="100"/>
          <w:sz w:val="20"/>
          <w:szCs w:val="20"/>
          <w:lang w:val="ro-RO"/>
        </w:rPr>
        <w:t xml:space="preserve"> este necesar să se </w:t>
      </w:r>
      <w:r>
        <w:rPr>
          <w:rStyle w:val="tal1"/>
          <w:rFonts w:eastAsia="Arial" w:cs="Arial" w:ascii="Arial" w:hAnsi="Arial"/>
          <w:color w:val="auto"/>
          <w:spacing w:val="0"/>
          <w:w w:val="100"/>
          <w:sz w:val="20"/>
          <w:szCs w:val="20"/>
          <w:lang w:val="ro-RO"/>
        </w:rPr>
        <w:t xml:space="preserve">constituie </w:t>
      </w:r>
      <w:r>
        <w:rPr>
          <w:rStyle w:val="al1"/>
          <w:rFonts w:eastAsia="Arial" w:cs="Arial" w:ascii="Arial" w:hAnsi="Arial"/>
          <w:b w:val="false"/>
          <w:color w:val="auto"/>
          <w:spacing w:val="0"/>
          <w:w w:val="100"/>
          <w:sz w:val="20"/>
          <w:szCs w:val="20"/>
          <w:lang w:val="ro-RO"/>
        </w:rPr>
        <w:t xml:space="preserve">un </w:t>
      </w:r>
      <w:r>
        <w:rPr>
          <w:rStyle w:val="tal1"/>
          <w:rFonts w:eastAsia="Arial" w:cs="Arial" w:ascii="Arial" w:hAnsi="Arial"/>
          <w:color w:val="auto"/>
          <w:spacing w:val="0"/>
          <w:w w:val="100"/>
          <w:sz w:val="20"/>
          <w:szCs w:val="20"/>
          <w:lang w:val="ro-RO"/>
        </w:rPr>
        <w:t>Comitet de securitate și sănătate în muncă.</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Comitetul de securitate și sănătate în muncă este constituit din reprezentanții lucrătorilor cu răspunderi specifice în domeniul securității și sănătății lucrătorilor, pe de o parte, și angajatorul sau reprezentantul său legal și/ sau reprezentanții săi în număr egal cu cel al reprezentanților lucrătorilor și medicul de medicina muncii, pe de altă parte.</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Lucrătorul desemnat sau reprezentantul serviciului intern de prevenire și protecție este secretarul comitetului de securitate și sănătate în muncă.</w:t>
      </w:r>
    </w:p>
    <w:p>
      <w:pPr>
        <w:pStyle w:val="Normal"/>
        <w:keepNext/>
        <w:widowControl/>
        <w:numPr>
          <w:ilvl w:val="0"/>
          <w:numId w:val="7"/>
        </w:numPr>
        <w:spacing w:before="0" w:after="40"/>
        <w:jc w:val="left"/>
        <w:rPr>
          <w:rFonts w:ascii="Arial" w:hAnsi="Arial" w:cs="Arial"/>
          <w:sz w:val="18"/>
          <w:szCs w:val="18"/>
          <w:lang w:val="it-IT"/>
        </w:rPr>
      </w:pPr>
      <w:r>
        <w:rPr>
          <w:rStyle w:val="al1"/>
          <w:rFonts w:eastAsia="Arial" w:cs="Arial" w:ascii="Arial" w:hAnsi="Arial"/>
          <w:b w:val="false"/>
          <w:color w:val="auto"/>
          <w:spacing w:val="0"/>
          <w:w w:val="100"/>
          <w:sz w:val="20"/>
          <w:szCs w:val="20"/>
          <w:lang w:val="ro-RO"/>
        </w:rPr>
        <w:t xml:space="preserve">Fiecărui reprezentant al lucrătorilor în comitetele de securitate și sănătate în muncă i se va acorda timpul necesar exercitării atribuțiilor specifice în domeniul securității și sănătății în muncă. Conform H.G. 1425/ 2006, art. 61 alin. (2), timpul alocat acestei activități va fi considerat timp de muncă și va fi de cel puțin:</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 ore pe lună în unitățile având un efectiv de până la 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5 ore pe lună în unitățile având un efectiv între 100 și 299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10 ore pe lună în unitățile având un efectiv între 300 și 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15 ore pe lună în unitățile având un efectiv între 500 și 1.499 de lucrători;</w:t>
      </w:r>
    </w:p>
    <w:p>
      <w:pPr>
        <w:pStyle w:val="Normal"/>
        <w:widowControl/>
        <w:numPr>
          <w:ilvl w:val="3"/>
          <w:numId w:val="7"/>
        </w:numPr>
        <w:spacing w:before="0" w:after="40"/>
        <w:ind w:hanging="360" w:left="1080"/>
        <w:jc w:val="left"/>
        <w:rPr>
          <w:rStyle w:val="tpa1"/>
          <w:rFonts w:ascii="Arial" w:hAnsi="Arial" w:cs="Arial"/>
          <w:sz w:val="18"/>
          <w:szCs w:val="18"/>
        </w:rPr>
      </w:pPr>
      <w:r>
        <w:rPr>
          <w:rStyle w:val="tpa1"/>
          <w:rFonts w:eastAsia="Arial" w:cs="Arial" w:ascii="Arial" w:hAnsi="Arial"/>
          <w:color w:val="auto"/>
          <w:spacing w:val="0"/>
          <w:w w:val="100"/>
          <w:sz w:val="20"/>
          <w:szCs w:val="20"/>
          <w:lang w:val="ro-RO"/>
        </w:rPr>
        <w:t xml:space="preserve">20 de ore pe lună în unitățile având un efectiv de 1.500 de lucrători și peste.</w:t>
      </w:r>
    </w:p>
    <w:p>
      <w:pPr>
        <w:pStyle w:val="Normal"/>
        <w:widowControl/>
        <w:numPr>
          <w:ilvl w:val="0"/>
          <w:numId w:val="7"/>
        </w:numPr>
        <w:spacing w:before="0" w:after="40"/>
        <w:jc w:val="left"/>
        <w:rPr>
          <w:rFonts w:ascii="Arial" w:hAnsi="Arial" w:cs="Arial"/>
          <w:sz w:val="18"/>
          <w:szCs w:val="18"/>
          <w:lang w:val="it-IT"/>
        </w:rPr>
      </w:pPr>
      <w:r>
        <w:rPr>
          <w:rStyle w:val="tpa1"/>
          <w:rFonts w:eastAsia="Arial" w:cs="Arial" w:ascii="Arial" w:hAnsi="Arial"/>
          <w:color w:val="auto"/>
          <w:spacing w:val="0"/>
          <w:w w:val="100"/>
          <w:sz w:val="20"/>
          <w:szCs w:val="20"/>
          <w:lang w:val="ro-RO"/>
        </w:rPr>
        <w:t>Membrii comitetului de securitate și sănătate în muncă se nominalizează prin decizie scrisă a președintelui acestuia, iar componența comitetului va fi adusă la cunoștința tuturor lucrătorilor.</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 xml:space="preserve">La întrunirile comitetului de securitate și sănătate în muncă vor fi convocați să participe lucrătorii desemnați, reprezentanții serviciului intern de prevenire și protecție și, în cazul în care angajatorul a contractat unul sau mai multe servicii externe de prevenire și protecție, reprezentanții acestora, dar vor putea fi convocați să participe și alți lucrători din cadrul </w:t>
      </w:r>
      <w:r>
        <w:rPr>
          <w:rStyle w:val="tal1"/>
          <w:rFonts w:eastAsia="Arial" w:cs="Arial" w:ascii="Arial" w:hAnsi="Arial"/>
          <w:b/>
          <w:bCs/>
          <w:color w:val="auto"/>
          <w:spacing w:val="0"/>
          <w:w w:val="100"/>
          <w:sz w:val="20"/>
          <w:szCs w:val="20"/>
          <w:lang w:val="ro-RO"/>
        </w:rPr>
        <w:t>{{client.legalName}}</w:t>
      </w:r>
      <w:r>
        <w:rPr>
          <w:rStyle w:val="tal1"/>
          <w:rFonts w:eastAsia="Arial" w:cs="Arial" w:ascii="Arial" w:hAnsi="Arial"/>
          <w:color w:val="auto"/>
          <w:spacing w:val="0"/>
          <w:w w:val="100"/>
          <w:sz w:val="20"/>
          <w:szCs w:val="20"/>
          <w:lang w:val="ro-RO"/>
        </w:rPr>
        <w:t>.</w:t>
      </w:r>
    </w:p>
    <w:p>
      <w:pPr>
        <w:pStyle w:val="Normal"/>
        <w:widowControl/>
        <w:numPr>
          <w:ilvl w:val="0"/>
          <w:numId w:val="7"/>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La întrunirile comitetului de securitate și sănătate în muncă pot fi invitați să participe inspectori de muncă.</w:t>
      </w:r>
    </w:p>
    <w:p>
      <w:pPr>
        <w:pStyle w:val="Normal"/>
        <w:widowControl/>
        <w:numPr>
          <w:ilvl w:val="0"/>
          <w:numId w:val="7"/>
        </w:numPr>
        <w:spacing w:before="0" w:after="40"/>
        <w:jc w:val="left"/>
        <w:rPr>
          <w:rStyle w:val="tpa1"/>
          <w:rFonts w:ascii="Arial" w:hAnsi="Arial" w:cs="Arial"/>
          <w:b/>
          <w:bCs/>
          <w:sz w:val="18"/>
          <w:szCs w:val="18"/>
          <w:lang w:val="it-IT"/>
        </w:rPr>
      </w:pPr>
      <w:r>
        <w:rPr>
          <w:rStyle w:val="tpa1"/>
          <w:rFonts w:eastAsia="Arial" w:cs="Arial" w:ascii="Arial" w:hAnsi="Arial"/>
          <w:color w:val="auto"/>
          <w:spacing w:val="0"/>
          <w:w w:val="100"/>
          <w:sz w:val="20"/>
          <w:szCs w:val="20"/>
          <w:lang w:val="ro-RO"/>
        </w:rPr>
        <w:t xml:space="preserve">Comitetul de securitate și sănătate în muncă va funcționa în baza regulamentului de </w:t>
      </w:r>
      <w:r>
        <w:rPr>
          <w:rStyle w:val="tpa1"/>
          <w:rFonts w:eastAsia="Arial" w:cs="Arial" w:ascii="Arial" w:hAnsi="Arial"/>
          <w:color w:val="auto"/>
          <w:spacing w:val="0"/>
          <w:w w:val="100"/>
          <w:sz w:val="20"/>
          <w:szCs w:val="20"/>
          <w:lang w:val="ro-RO"/>
        </w:rPr>
        <w:t>funcționare</w:t>
      </w:r>
      <w:r>
        <w:rPr>
          <w:rStyle w:val="tpa1"/>
          <w:rFonts w:eastAsia="Arial" w:cs="Arial" w:ascii="Arial" w:hAnsi="Arial"/>
          <w:color w:val="auto"/>
          <w:spacing w:val="0"/>
          <w:w w:val="100"/>
          <w:sz w:val="20"/>
          <w:szCs w:val="20"/>
          <w:lang w:val="ro-RO"/>
        </w:rPr>
        <w:t xml:space="preserve"> propriu al</w:t>
      </w:r>
      <w:r>
        <w:rPr>
          <w:rStyle w:val="tal1"/>
          <w:rFonts w:eastAsia="Arial" w:cs="Arial" w:ascii="Arial" w:hAnsi="Arial"/>
          <w:color w:val="auto"/>
          <w:spacing w:val="0"/>
          <w:w w:val="100"/>
          <w:sz w:val="20"/>
          <w:szCs w:val="20"/>
          <w:lang w:val="ro-RO"/>
        </w:rPr>
        <w:t xml:space="preserve"> </w:t>
      </w:r>
      <w:r>
        <w:rPr>
          <w:rStyle w:val="tal1"/>
          <w:rFonts w:eastAsia="Arial" w:cs="Arial" w:ascii="Arial" w:hAnsi="Arial"/>
          <w:b/>
          <w:bCs/>
          <w:color w:val="auto"/>
          <w:spacing w:val="0"/>
          <w:w w:val="100"/>
          <w:sz w:val="20"/>
          <w:szCs w:val="20"/>
          <w:lang w:val="ro-RO"/>
        </w:rPr>
        <w:t>{{client.legalName}}.</w:t>
      </w:r>
    </w:p>
    <w:p>
      <w:pPr>
        <w:pStyle w:val="Normal"/>
        <w:keepNext/>
        <w:widowControl/>
        <w:numPr>
          <w:ilvl w:val="0"/>
          <w:numId w:val="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w:t>
      </w:r>
      <w:r>
        <w:rPr>
          <w:rFonts w:eastAsia="Arial" w:cs="Arial" w:ascii="Arial" w:hAnsi="Arial"/>
          <w:bCs/>
          <w:color w:val="auto"/>
          <w:spacing w:val="0"/>
          <w:w w:val="100"/>
          <w:sz w:val="20"/>
          <w:szCs w:val="20"/>
          <w:lang w:val="ro-RO"/>
        </w:rPr>
        <w:t xml:space="preserve">ucrătorul desemnat sau </w:t>
      </w:r>
      <w:r>
        <w:rPr>
          <w:rFonts w:eastAsia="Arial" w:cs="Arial" w:ascii="Arial" w:hAnsi="Arial"/>
          <w:color w:val="auto"/>
          <w:spacing w:val="0"/>
          <w:w w:val="100"/>
          <w:sz w:val="20"/>
          <w:szCs w:val="20"/>
          <w:lang w:val="ro-RO"/>
        </w:rPr>
        <w:t>s</w:t>
      </w:r>
      <w:r>
        <w:rPr>
          <w:rFonts w:eastAsia="Arial" w:cs="Arial" w:ascii="Arial" w:hAnsi="Arial"/>
          <w:bCs/>
          <w:color w:val="auto"/>
          <w:spacing w:val="0"/>
          <w:w w:val="100"/>
          <w:sz w:val="20"/>
          <w:szCs w:val="20"/>
          <w:lang w:val="ro-RO"/>
        </w:rPr>
        <w:t>erviciul extern va trebui:</w:t>
      </w:r>
    </w:p>
    <w:p>
      <w:pPr>
        <w:pStyle w:val="Normal"/>
        <w:widowControl/>
        <w:numPr>
          <w:ilvl w:val="0"/>
          <w:numId w:val="52"/>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să propună atribuții și răspunderi în domeniul securității și sănătății în muncă pentru fișa postului pentru angajați, corespunzător funcțiilor exercitate;</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elaboreze instrucțiuni proprii de securitate a muncii, care să detalieze și să particularizeze normele specifice securității și sănătății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și să controleze cunoașterea și aplicarea de către toți angajații, a măsurilor tehnice și organizatorice stabilite, precum și a prevederilor legale în domeniul securității muncii;</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materiale necesare informării și educării angajaților: afișe, pliante, teste, fișe tehnice de securitate, carto etc.;</w:t>
      </w:r>
    </w:p>
    <w:p>
      <w:pPr>
        <w:pStyle w:val="Normal"/>
        <w:widowControl/>
        <w:numPr>
          <w:ilvl w:val="0"/>
          <w:numId w:val="50"/>
        </w:numPr>
        <w:spacing w:before="0" w:after="4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informarea fiecărei persoane, anterior angajării, asupra riscurilor la care aceasta va fi expusă, precum și asupra măsurilor tehnice și organizatorice de prevenire necesare;</w:t>
      </w:r>
    </w:p>
    <w:p>
      <w:pPr>
        <w:pStyle w:val="Normal"/>
        <w:widowControl/>
        <w:numPr>
          <w:ilvl w:val="0"/>
          <w:numId w:val="50"/>
        </w:numPr>
        <w:spacing w:before="0" w:after="120"/>
        <w:ind w:hanging="360" w:left="1080" w:right="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asigure materialul necesar pentru informarea angajatorilor din orice unitate exterioară, ai căror angajați lucrează în unitatea sa, referitor la riscurile pentru securitate și sănătate la care aceștia pot fi expuși, precum și măsurile de prevenire și protecție adoptate la nivel de unitate și loc de muncă, inclusiv cele referitoare la primul ajutor, prevenirea și stingerea incendiilor și evacuarea în caz de urgență.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Reguli privind respectarea principiului nediscriminării și al înlăturării oricărei forme de încălcare a demnității</w:t>
      </w:r>
      <w:r>
        <w:rPr>
          <w:rFonts w:eastAsia="Arial" w:cs="Arial" w:ascii="Arial" w:hAnsi="Arial"/>
          <w:color w:val="auto"/>
          <w:spacing w:val="0"/>
          <w:w w:val="100"/>
          <w:sz w:val="20"/>
          <w:szCs w:val="20"/>
          <w:lang w:val="ro-RO"/>
        </w:rPr>
        <w:t>:</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de muncă funcționează principiul egalității de tratament față de toți lucrătorii și angajatorii; orice discriminare este interzisă.</w:t>
      </w:r>
    </w:p>
    <w:p>
      <w:pPr>
        <w:pStyle w:val="BodyText"/>
        <w:widowControl/>
        <w:numPr>
          <w:ilvl w:val="0"/>
          <w:numId w:val="17"/>
        </w:numPr>
        <w:spacing w:before="0" w:after="40"/>
        <w:jc w:val="left"/>
        <w:rPr>
          <w:rFonts w:ascii="Arial" w:hAnsi="Arial" w:cs="Arial"/>
          <w:b/>
          <w:bCs/>
          <w:sz w:val="18"/>
          <w:szCs w:val="18"/>
          <w:lang w:val="it-IT"/>
        </w:rPr>
      </w:pPr>
      <w:r>
        <w:rPr>
          <w:rFonts w:eastAsia="Arial" w:cs="Arial" w:ascii="Arial" w:hAnsi="Arial"/>
          <w:color w:val="auto"/>
          <w:spacing w:val="0"/>
          <w:w w:val="100"/>
          <w:sz w:val="20"/>
          <w:szCs w:val="20"/>
          <w:lang w:val="ro-RO"/>
        </w:rPr>
        <w:t xml:space="preserve">Prin discriminare se înțelege orice deosebire, excludere, restricție sau preferință, pe bază de rasă, naționalitate, etnie, limbă, religie, categorie socială, convingeri, gen, orientare sexuală, vârstă, dizabilitate, boală cronică necontagioasă, infectare HIV ori apartenență la o categorie defavorizată sau orice alt criteriu care are ca scop sau efect restrângerea sau înlăturarea recunoașterii, folosinței sau exercitării, în condiții egale, a drepturilor omului și libertăților fundamentale sau a drepturilor recunoscute de lege, în domeniul politic, economic, social și cultural.</w:t>
      </w:r>
    </w:p>
    <w:p>
      <w:pPr>
        <w:pStyle w:val="Heading5"/>
        <w:keepNext/>
        <w:widowControl/>
        <w:numPr>
          <w:ilvl w:val="0"/>
          <w:numId w:val="17"/>
        </w:numPr>
        <w:spacing w:before="0" w:after="40"/>
        <w:jc w:val="left"/>
        <w:rPr>
          <w:rFonts w:ascii="Arial" w:hAnsi="Arial" w:cs="Arial"/>
          <w:bCs/>
          <w:i w:val="false"/>
          <w:iCs w:val="false"/>
          <w:sz w:val="18"/>
          <w:szCs w:val="18"/>
          <w:lang w:val="it-IT"/>
        </w:rPr>
      </w:pPr>
      <w:r>
        <w:rPr>
          <w:rFonts w:eastAsia="Arial" w:cs="Arial" w:ascii="Arial" w:hAnsi="Arial"/>
          <w:bCs/>
          <w:i w:val="false"/>
          <w:iCs w:val="false"/>
          <w:color w:val="auto"/>
          <w:spacing w:val="0"/>
          <w:w w:val="100"/>
          <w:sz w:val="20"/>
          <w:szCs w:val="20"/>
          <w:lang w:val="ro-RO"/>
        </w:rPr>
        <w:t>Principiul egalității, al excluderii privilegiilor și discriminării este garantat în exercitarea următoarelor drepturi:</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muncă, la condiții de muncă echitabile și satisfăcătoare, la protecție împotriva șomajului, la salariu egal pentru muncă egală, la o remunerație echitabilă și satisfăcătoare;</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sănătate, la securitate socială și la servicii sociale;</w:t>
      </w:r>
    </w:p>
    <w:p>
      <w:pPr>
        <w:pStyle w:val="Normal"/>
        <w:widowControl/>
        <w:numPr>
          <w:ilvl w:val="0"/>
          <w:numId w:val="1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dreptul la pregătire profesională;</w:t>
      </w:r>
    </w:p>
    <w:p>
      <w:pPr>
        <w:pStyle w:val="Normal"/>
        <w:widowControl/>
        <w:numPr>
          <w:ilvl w:val="0"/>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de a lua parte, în condiții egale, la activități culturale și sportive.</w:t>
      </w:r>
    </w:p>
    <w:p>
      <w:pPr>
        <w:pStyle w:val="Normal"/>
        <w:keepNext/>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Principiul egalității de șanse este aplicat în ceea ce privește: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condițiile de încadrare în muncă, criteriile și condițiile de recrutare;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selectare și promovare, formare și perfecționare profesională;</w:t>
      </w:r>
    </w:p>
    <w:p>
      <w:pPr>
        <w:pStyle w:val="Normal"/>
        <w:widowControl/>
        <w:numPr>
          <w:ilvl w:val="0"/>
          <w:numId w:val="3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anunțarea, organizarea concursurilor sau examenelor și selecția;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candidaților pentru posturile vacante;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încheierea, suspendarea, modificarea sau încetarea raportului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și modificarea atribuțiilor de serviciu din fișa postului, locului de muncă;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stabilirea remunerației;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performanțelor profesionale individuale;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promovarea personală;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acordarea altor drepturi sociale altele decât cele reprezentând salariul;</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formarea, perfecționarea, reconversia și promovarea profesională;</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aplicarea măsurilor disciplinare;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dreptul la aderare la sindicat și accesul la facilitățile acordate de acesta;</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orice alte condiții de prestare a muncii, potrivit legislației în vigoare.</w:t>
      </w:r>
    </w:p>
    <w:p>
      <w:pPr>
        <w:pStyle w:val="Normal"/>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cadrul relațiilor dintre lucrătorii </w:t>
      </w:r>
      <w:r>
        <w:rPr>
          <w:rFonts w:eastAsia="Arial" w:cs="Arial" w:ascii="Arial" w:hAnsi="Arial"/>
          <w:b/>
          <w:color w:val="auto"/>
          <w:spacing w:val="0"/>
          <w:w w:val="100"/>
          <w:sz w:val="20"/>
          <w:szCs w:val="20"/>
          <w:lang w:val="ro-RO"/>
        </w:rPr>
        <w:t>unității</w:t>
      </w:r>
      <w:r>
        <w:rPr>
          <w:rFonts w:eastAsia="Arial" w:cs="Arial" w:ascii="Arial" w:hAnsi="Arial"/>
          <w:color w:val="auto"/>
          <w:spacing w:val="0"/>
          <w:w w:val="100"/>
          <w:sz w:val="20"/>
          <w:szCs w:val="20"/>
          <w:lang w:val="ro-RO"/>
        </w:rPr>
        <w:t xml:space="preserve"> precum și dintre aceștia și alte persoane fizice cu care vin în contact în îndeplinirea atribuțiilor de serviciu, se interzice orice comportament care să aibă ca scop sau efect, defavorizarea sau supunerea la un tratament injust sau degradant a unei persoane sau grup de persoane.</w:t>
      </w:r>
    </w:p>
    <w:p>
      <w:pPr>
        <w:pStyle w:val="Normal"/>
        <w:keepNext/>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Constituie abatere disciplinară orice comportament având ca scop:</w:t>
      </w:r>
    </w:p>
    <w:p>
      <w:pPr>
        <w:pStyle w:val="Normal"/>
        <w:widowControl/>
        <w:numPr>
          <w:ilvl w:val="0"/>
          <w:numId w:val="2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crearea la locul de muncă a unei atmosfere de intimidare, de ostilitate sau descurajare pentru o persoană sau grup de persoane;</w:t>
      </w:r>
    </w:p>
    <w:p>
      <w:pPr>
        <w:pStyle w:val="Normal"/>
        <w:widowControl/>
        <w:numPr>
          <w:ilvl w:val="0"/>
          <w:numId w:val="24"/>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influențarea negativă a situației lucrătorului în ceea ce privește promovarea profesională, remunerația sau veniturile de orice natură ori accesul la formarea și perfecționarea profesională, în cazul refuzului acestuia de a accepta un comportament nedorit, ce ține de viața sexuală.</w:t>
      </w:r>
    </w:p>
    <w:p>
      <w:pPr>
        <w:pStyle w:val="Normal"/>
        <w:keepNext/>
        <w:widowControl/>
        <w:numPr>
          <w:ilvl w:val="0"/>
          <w:numId w:val="9"/>
        </w:numPr>
        <w:spacing w:before="120" w:after="60"/>
        <w:jc w:val="left"/>
        <w:rPr>
          <w:rFonts w:ascii="Arial" w:hAnsi="Arial" w:cs="Arial"/>
          <w:sz w:val="18"/>
          <w:szCs w:val="18"/>
          <w:lang w:val="de-DE"/>
        </w:rPr>
      </w:pPr>
      <w:r>
        <w:rPr>
          <w:rFonts w:eastAsia="Arial" w:cs="Arial" w:ascii="Arial" w:hAnsi="Arial"/>
          <w:bCs/>
          <w:color w:val="auto"/>
          <w:spacing w:val="0"/>
          <w:w w:val="100"/>
          <w:sz w:val="20"/>
          <w:szCs w:val="20"/>
          <w:lang w:val="ro-RO"/>
        </w:rPr>
        <w:t>Reglementări privind protecția maternității</w:t>
      </w:r>
      <w:r>
        <w:rPr>
          <w:rFonts w:eastAsia="Arial" w:cs="Arial" w:ascii="Arial" w:hAnsi="Arial"/>
          <w:bCs/>
          <w:color w:val="auto"/>
          <w:spacing w:val="0"/>
          <w:w w:val="100"/>
          <w:sz w:val="20"/>
          <w:szCs w:val="20"/>
          <w:lang w:val="ro-RO"/>
        </w:rPr>
        <w:t>:</w:t>
      </w:r>
    </w:p>
    <w:p>
      <w:pPr>
        <w:pStyle w:val="Normal"/>
        <w:widowControl/>
        <w:numPr>
          <w:ilvl w:val="0"/>
          <w:numId w:val="34"/>
        </w:numPr>
        <w:spacing w:before="0" w:after="40"/>
        <w:jc w:val="left"/>
        <w:rPr>
          <w:rStyle w:val="tpa1"/>
          <w:rFonts w:ascii="Arial" w:hAnsi="Arial" w:cs="Arial"/>
          <w:b/>
          <w:sz w:val="18"/>
          <w:szCs w:val="18"/>
          <w:lang w:val="it-CH"/>
        </w:rPr>
      </w:pPr>
      <w:r>
        <w:rPr>
          <w:rFonts w:eastAsia="Arial" w:cs="Arial" w:ascii="Arial" w:hAnsi="Arial"/>
          <w:color w:val="auto"/>
          <w:spacing w:val="0"/>
          <w:w w:val="100"/>
          <w:sz w:val="20"/>
          <w:szCs w:val="20"/>
          <w:lang w:val="ro-RO"/>
        </w:rPr>
        <w:t xml:space="preserve">În ceea ce privește </w:t>
      </w:r>
      <w:r>
        <w:rPr>
          <w:rStyle w:val="tpa1"/>
          <w:rFonts w:eastAsia="Arial" w:cs="Arial" w:ascii="Arial" w:hAnsi="Arial"/>
          <w:color w:val="auto"/>
          <w:spacing w:val="0"/>
          <w:w w:val="100"/>
          <w:sz w:val="20"/>
          <w:szCs w:val="20"/>
          <w:lang w:val="ro-RO"/>
        </w:rPr>
        <w:t>securitatea și sănătatea în muncă a salariatelor gravide și/ sau mame, lăuze sau care alăptează, angajatorul va asigura la locul de muncă măsuri privind igiena, protecția sănătății și securitatea în muncă a acestora conform prevederilor legale.</w:t>
      </w:r>
    </w:p>
    <w:p>
      <w:pPr>
        <w:pStyle w:val="Normal"/>
        <w:keepNext/>
        <w:widowControl/>
        <w:numPr>
          <w:ilvl w:val="0"/>
          <w:numId w:val="34"/>
        </w:numPr>
        <w:spacing w:before="0" w:after="40"/>
        <w:jc w:val="left"/>
        <w:rPr>
          <w:rStyle w:val="tpa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pentru a beneficia de aceste măsuri trebuie să informeze în scris angajatorul asupra stării lor fiziologice astfel:</w:t>
      </w:r>
    </w:p>
    <w:p>
      <w:pPr>
        <w:pStyle w:val="Normal"/>
        <w:widowControl/>
        <w:numPr>
          <w:ilvl w:val="0"/>
          <w:numId w:val="35"/>
        </w:numPr>
        <w:spacing w:before="0" w:after="40"/>
        <w:ind w:hanging="360" w:left="1080"/>
        <w:jc w:val="left"/>
        <w:rPr>
          <w:rFonts w:ascii="Arial" w:hAnsi="Arial" w:cs="Arial"/>
          <w:b/>
          <w:sz w:val="18"/>
          <w:szCs w:val="18"/>
          <w:lang w:val="it-CH"/>
        </w:rPr>
      </w:pPr>
      <w:r>
        <w:rPr>
          <w:rStyle w:val="tpa1"/>
          <w:rFonts w:eastAsia="Arial" w:cs="Arial" w:ascii="Arial" w:hAnsi="Arial"/>
          <w:color w:val="auto"/>
          <w:spacing w:val="0"/>
          <w:w w:val="100"/>
          <w:sz w:val="20"/>
          <w:szCs w:val="20"/>
          <w:lang w:val="ro-RO"/>
        </w:rPr>
        <w:t xml:space="preserve">salariata gravidă va anunța</w:t>
      </w:r>
      <w:r>
        <w:rPr>
          <w:rFonts w:eastAsia="Arial" w:cs="Arial" w:ascii="Arial" w:hAnsi="Arial"/>
          <w:color w:val="auto"/>
          <w:spacing w:val="0"/>
          <w:w w:val="100"/>
          <w:sz w:val="20"/>
          <w:szCs w:val="20"/>
          <w:lang w:val="ro-RO"/>
        </w:rPr>
        <w:t xml:space="preserve"> în scris angajatorul asupra stării sale fiziologice de graviditate, va depune în copie Anexa pentru supravegherea medicală a gravidei – document medical, completat de medic, însoțită de o cerere care conține informații referitoare la starea de maternitate și solicitarea de a i se aplica măsurile de protecție prevăzute de ordonanță; documentul medical va conține constatarea stării fiziologice de sănătate, data prezumtivă a nașterii, recomandări privind capacitatea de muncă a acesteia pe timp de zi/ noapte, precum și în condiții de muncă insalubre sau greu de suportat;</w:t>
      </w:r>
    </w:p>
    <w:p>
      <w:pPr>
        <w:pStyle w:val="Normal"/>
        <w:widowControl/>
        <w:numPr>
          <w:ilvl w:val="0"/>
          <w:numId w:val="35"/>
        </w:numPr>
        <w:spacing w:before="0" w:after="40"/>
        <w:ind w:hanging="360" w:left="1080"/>
        <w:jc w:val="left"/>
        <w:rPr>
          <w:rFonts w:ascii="Arial" w:hAnsi="Arial" w:cs="Arial"/>
          <w:b/>
          <w:sz w:val="18"/>
          <w:szCs w:val="18"/>
          <w:lang w:val="it-CH"/>
        </w:rPr>
      </w:pPr>
      <w:r>
        <w:rPr>
          <w:rFonts w:eastAsia="Arial" w:cs="Arial" w:ascii="Arial" w:hAnsi="Arial"/>
          <w:color w:val="auto"/>
          <w:spacing w:val="0"/>
          <w:w w:val="100"/>
          <w:sz w:val="20"/>
          <w:szCs w:val="20"/>
          <w:lang w:val="ro-RO"/>
        </w:rPr>
        <w:t>salariata lăuză, care și-a reluat activitatea după efectuarea concediului de lăuzie respectiv a concediului postnatal obligatoriu de 42 de zile, sau după caz a 63 de zile ale concediului de lăuzie, va solicita angajatorului în scris măsurile de protecție prevăzute de lege, anexând un document medical eliberat de medicul de familie/ medicul specialist, dar nu mai târziu de 6 luni de la data la care a născut;</w:t>
      </w:r>
    </w:p>
    <w:p>
      <w:pPr>
        <w:pStyle w:val="Normal"/>
        <w:widowControl/>
        <w:numPr>
          <w:ilvl w:val="0"/>
          <w:numId w:val="35"/>
        </w:numPr>
        <w:spacing w:before="0" w:after="40"/>
        <w:ind w:hanging="360" w:left="1080"/>
        <w:jc w:val="left"/>
        <w:rPr>
          <w:rStyle w:val="tli1"/>
          <w:rFonts w:ascii="Arial" w:hAnsi="Arial" w:cs="Arial"/>
          <w:b/>
          <w:sz w:val="18"/>
          <w:szCs w:val="18"/>
          <w:lang w:val="it-CH"/>
        </w:rPr>
      </w:pPr>
      <w:r>
        <w:rPr>
          <w:rFonts w:eastAsia="Arial" w:cs="Arial" w:ascii="Arial" w:hAnsi="Arial"/>
          <w:color w:val="auto"/>
          <w:spacing w:val="0"/>
          <w:w w:val="100"/>
          <w:sz w:val="20"/>
          <w:szCs w:val="20"/>
          <w:lang w:val="ro-RO"/>
        </w:rPr>
        <w:t xml:space="preserve">salariata care alăptează, la reluarea</w:t>
      </w:r>
      <w:r>
        <w:rPr>
          <w:rStyle w:val="tli1"/>
          <w:rFonts w:eastAsia="Arial" w:cs="Arial" w:ascii="Arial" w:hAnsi="Arial"/>
          <w:color w:val="auto"/>
          <w:spacing w:val="0"/>
          <w:w w:val="100"/>
          <w:sz w:val="20"/>
          <w:szCs w:val="20"/>
          <w:lang w:val="ro-RO"/>
        </w:rPr>
        <w:t xml:space="preserve"> activității după efectuarea concediului de lăuzie, va anunța angajatorul în scris cu privire la începutul și sfârșitul prezumat al perioadei de alăptare, anexând documente medicale eliberate de medicul de familie/ medicul specialist în acest sens care va cuprinde și recomandări cu privire la capacitatea de muncă a acesteia.</w:t>
      </w:r>
    </w:p>
    <w:p>
      <w:pPr>
        <w:pStyle w:val="Normal"/>
        <w:keepNext/>
        <w:widowControl/>
        <w:numPr>
          <w:ilvl w:val="0"/>
          <w:numId w:val="34"/>
        </w:numPr>
        <w:spacing w:before="0" w:after="4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Salariatele prevăzute la Art. 54 lit. a, b, c, din prezentul regulament au următoarele obligații:</w:t>
      </w:r>
    </w:p>
    <w:p>
      <w:pPr>
        <w:pStyle w:val="Normal"/>
        <w:widowControl/>
        <w:numPr>
          <w:ilvl w:val="0"/>
          <w:numId w:val="4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salariata mamă are obligația să efectueze, în cadrul concediului pentru sarcină și lăuzie, concediul postnatal de 42 de zile, după naștere, sau după caz 63 de zile ale concediului de lăuzie;</w:t>
      </w:r>
    </w:p>
    <w:p>
      <w:pPr>
        <w:pStyle w:val="Normal"/>
        <w:widowControl/>
        <w:numPr>
          <w:ilvl w:val="0"/>
          <w:numId w:val="43"/>
        </w:numPr>
        <w:spacing w:before="0" w:after="40"/>
        <w:ind w:hanging="360" w:left="1080"/>
        <w:jc w:val="left"/>
        <w:rPr>
          <w:rStyle w:val="tal1"/>
          <w:rFonts w:ascii="Arial" w:hAnsi="Arial" w:cs="Arial"/>
          <w:b/>
          <w:sz w:val="18"/>
          <w:szCs w:val="18"/>
          <w:lang w:val="it-CH"/>
        </w:rPr>
      </w:pPr>
      <w:r>
        <w:rPr>
          <w:rStyle w:val="tpa1"/>
          <w:rFonts w:eastAsia="Arial" w:cs="Arial" w:ascii="Arial" w:hAnsi="Arial"/>
          <w:color w:val="auto"/>
          <w:spacing w:val="0"/>
          <w:w w:val="100"/>
          <w:sz w:val="20"/>
          <w:szCs w:val="20"/>
          <w:lang w:val="ro-RO"/>
        </w:rPr>
        <w:t>salariatele gravide și/ sau mamele, lăuzele sau care alăptează au</w:t>
      </w:r>
      <w:r>
        <w:rPr>
          <w:rStyle w:val="tal1"/>
          <w:rFonts w:eastAsia="Arial" w:cs="Arial" w:ascii="Arial" w:hAnsi="Arial"/>
          <w:color w:val="auto"/>
          <w:spacing w:val="0"/>
          <w:w w:val="100"/>
          <w:sz w:val="20"/>
          <w:szCs w:val="20"/>
          <w:lang w:val="ro-RO"/>
        </w:rPr>
        <w:t xml:space="preserve"> obligația de a se prezenta la medicul de familie/ medicul specialist, pentru eliberarea unui document medical care să le ateste starea, care va fi prezentat în copie angajatorului, în termen de maxim 5 zile lucrătoare de la data eliberării.</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Pentru toate activitățile susceptibile să prezinte un risc specific de expunere la agenți, procedee și condiții de muncă, a căror listă este prevăzută în anexa nr. 1 din O.U.G. nr. 96/ 2003, angajatorul este obligat să evalueze anual și să întocmească rapoarte de evaluare, cu participarea medicului de medicina muncii, cu privire la natura, gradul și durata de expunere a angajatelor în unitate pentru a depista orice risc pentru sănătatea și securitatea angajatelor și orice efect posibil asupra sarcinii sau alăptării și pentru a stabili măsurile care trebuie luate.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 xml:space="preserve">Angajatorii sunt obligați ca, în termen de 5 zile lucrătoare de la data întocmirii raportului, să înmâneze o copie a acestuia către reprezentanții salariaților (dacă este cazul).</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Angajatorii vor informa în scris salariatele asupra rezultatelor evaluării privind riscurile la care pot fi supuse la locurile lor de muncă, precum și asupra drepturilor care decurg din O.U.G. nr. 96/ 2003 prin informarea privind protecția maternității la locul de muncă (conform modelului din Normele Metodologice) în termen de cel mult 15 zile lucrătoare de la data întocmirii raportului de evaluare.</w:t>
      </w:r>
    </w:p>
    <w:p>
      <w:pPr>
        <w:pStyle w:val="Normal"/>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În termen de 10 zile lucrătoare de la data la care angajatorul a fost anunțat în scris de către o salariată că se află în una dintre situațiile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acesta are obligația să înștiințeze medicul de medicina muncii, precum și inspectoratul teritorial de muncă pe a cărui rază își desfășoară activitatea.</w:t>
      </w:r>
    </w:p>
    <w:p>
      <w:pPr>
        <w:pStyle w:val="Normal"/>
        <w:keepNext/>
        <w:widowControl/>
        <w:numPr>
          <w:ilvl w:val="0"/>
          <w:numId w:val="34"/>
        </w:numPr>
        <w:spacing w:before="0" w:after="40"/>
        <w:jc w:val="left"/>
        <w:rPr>
          <w:rStyle w:val="tal1"/>
          <w:rFonts w:ascii="Arial" w:hAnsi="Arial" w:cs="Arial"/>
          <w:b/>
          <w:sz w:val="18"/>
          <w:szCs w:val="18"/>
          <w:lang w:val="it-CH"/>
        </w:rPr>
      </w:pPr>
      <w:r>
        <w:rPr>
          <w:rStyle w:val="tal1"/>
          <w:rFonts w:eastAsia="Arial" w:cs="Arial" w:ascii="Arial" w:hAnsi="Arial"/>
          <w:color w:val="auto"/>
          <w:spacing w:val="0"/>
          <w:w w:val="100"/>
          <w:sz w:val="20"/>
          <w:szCs w:val="20"/>
          <w:lang w:val="ro-RO"/>
        </w:rPr>
        <w:t>Angajatorului îi revin următoarele obligații: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al1"/>
          <w:rFonts w:eastAsia="Arial" w:cs="Arial" w:ascii="Arial" w:hAnsi="Arial"/>
          <w:color w:val="auto"/>
          <w:spacing w:val="0"/>
          <w:w w:val="100"/>
          <w:sz w:val="20"/>
          <w:szCs w:val="20"/>
          <w:lang w:val="ro-RO"/>
        </w:rPr>
        <w:t>să prevină expunerea salariatelor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la riscuri ce le pot afecta sănătatea și securitatea, în situația în care rezultatele evaluării evidențiază astfel de riscuri;</w:t>
      </w:r>
    </w:p>
    <w:p>
      <w:pPr>
        <w:pStyle w:val="Normal"/>
        <w:widowControl/>
        <w:numPr>
          <w:ilvl w:val="0"/>
          <w:numId w:val="13"/>
        </w:numPr>
        <w:spacing w:before="0" w:after="40"/>
        <w:ind w:hanging="360" w:left="1080"/>
        <w:jc w:val="left"/>
        <w:rPr>
          <w:rStyle w:val="tli1"/>
          <w:rFonts w:ascii="Arial" w:hAnsi="Arial" w:cs="Arial"/>
          <w:b/>
          <w:sz w:val="18"/>
          <w:szCs w:val="18"/>
          <w:lang w:val="it-CH"/>
        </w:rPr>
      </w:pPr>
      <w:r>
        <w:rPr>
          <w:rStyle w:val="tli1"/>
          <w:rFonts w:eastAsia="Arial" w:cs="Arial" w:ascii="Arial" w:hAnsi="Arial"/>
          <w:color w:val="auto"/>
          <w:spacing w:val="0"/>
          <w:w w:val="100"/>
          <w:sz w:val="20"/>
          <w:szCs w:val="20"/>
          <w:lang w:val="ro-RO"/>
        </w:rPr>
        <w:t>să nu constrângă salariatele să efectueze o muncă dăunătoare sănătății sau stării lor de graviditate ori copilului nou-născut, după caz;</w:t>
      </w:r>
    </w:p>
    <w:p>
      <w:pPr>
        <w:pStyle w:val="Normal"/>
        <w:widowControl/>
        <w:numPr>
          <w:ilvl w:val="0"/>
          <w:numId w:val="13"/>
        </w:numPr>
        <w:spacing w:before="0" w:after="40"/>
        <w:ind w:hanging="360" w:left="1080"/>
        <w:jc w:val="left"/>
        <w:rPr>
          <w:rStyle w:val="tpa1"/>
          <w:rFonts w:ascii="Arial" w:hAnsi="Arial" w:cs="Arial"/>
          <w:sz w:val="18"/>
          <w:szCs w:val="18"/>
          <w:lang w:val="it-CH"/>
        </w:rPr>
      </w:pPr>
      <w:r>
        <w:rPr>
          <w:rStyle w:val="tpa1"/>
          <w:rFonts w:eastAsia="Arial" w:cs="Arial" w:ascii="Arial" w:hAnsi="Arial"/>
          <w:color w:val="auto"/>
          <w:spacing w:val="0"/>
          <w:w w:val="100"/>
          <w:sz w:val="20"/>
          <w:szCs w:val="20"/>
          <w:lang w:val="ro-RO"/>
        </w:rPr>
        <w:t>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Normal"/>
        <w:widowControl/>
        <w:numPr>
          <w:ilvl w:val="0"/>
          <w:numId w:val="13"/>
        </w:numPr>
        <w:spacing w:before="0" w:after="40"/>
        <w:ind w:hanging="360" w:left="1080"/>
        <w:jc w:val="left"/>
        <w:rPr>
          <w:rStyle w:val="tal1"/>
          <w:rFonts w:ascii="Arial" w:hAnsi="Arial" w:cs="Arial"/>
          <w:sz w:val="18"/>
          <w:szCs w:val="18"/>
          <w:lang w:val="it-CH"/>
        </w:rPr>
      </w:pPr>
      <w:r>
        <w:rPr>
          <w:rStyle w:val="tpa1"/>
          <w:rFonts w:eastAsia="Arial" w:cs="Arial" w:ascii="Arial" w:hAnsi="Arial"/>
          <w:color w:val="auto"/>
          <w:spacing w:val="0"/>
          <w:w w:val="100"/>
          <w:sz w:val="20"/>
          <w:szCs w:val="20"/>
          <w:lang w:val="ro-RO"/>
        </w:rPr>
        <w:t xml:space="preserve">să modifice locul de muncă al salariatelor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w:t>
      </w:r>
      <w:r>
        <w:rPr>
          <w:rStyle w:val="tal1"/>
          <w:rFonts w:eastAsia="Arial" w:cs="Arial" w:ascii="Arial" w:hAnsi="Arial"/>
          <w:color w:val="auto"/>
          <w:spacing w:val="0"/>
          <w:w w:val="100"/>
          <w:sz w:val="20"/>
          <w:szCs w:val="20"/>
          <w:lang w:val="ro-RO"/>
        </w:rPr>
        <w:t>își desfășoară activitatea numai în poziția ortostatică sau în poziția așezat, astfel încât să li se asigure, la intervale regulate de timp, pauze și amenajări pentru repaus în poziție șezândă sau, respectiv, pentru mișcare, la recomandarea medicului de medicina muncii;</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gravide dispensă pentru consultații prenatale, constând în ore libere plătite salariatei, în cazul în care investigațiile medicale se pot efectua numai în timpul programului de lucru;</w:t>
      </w:r>
    </w:p>
    <w:p>
      <w:pPr>
        <w:pStyle w:val="Normal"/>
        <w:widowControl/>
        <w:numPr>
          <w:ilvl w:val="0"/>
          <w:numId w:val="13"/>
        </w:numPr>
        <w:spacing w:before="0" w:after="40"/>
        <w:ind w:hanging="360" w:left="1080"/>
        <w:jc w:val="left"/>
        <w:rPr>
          <w:rStyle w:val="tal1"/>
          <w:rFonts w:ascii="Arial" w:hAnsi="Arial" w:cs="Arial"/>
          <w:sz w:val="18"/>
          <w:szCs w:val="18"/>
          <w:lang w:val="fr-FR"/>
        </w:rPr>
      </w:pPr>
      <w:r>
        <w:rPr>
          <w:rStyle w:val="tal1"/>
          <w:rFonts w:eastAsia="Arial" w:cs="Arial" w:ascii="Arial" w:hAnsi="Arial"/>
          <w:color w:val="auto"/>
          <w:spacing w:val="0"/>
          <w:w w:val="100"/>
          <w:sz w:val="20"/>
          <w:szCs w:val="20"/>
          <w:lang w:val="ro-RO"/>
        </w:rPr>
        <w:t>să acorde salariatelor care alăptează pauze de alăptare de câte o oră fiecare, în timpul programului de lucru/ să reducă durata timpului de muncă cu 2 ore zilnic, fără diminuarea drepturilor salariale;</w:t>
      </w:r>
    </w:p>
    <w:p>
      <w:pPr>
        <w:pStyle w:val="Normal"/>
        <w:widowControl/>
        <w:numPr>
          <w:ilvl w:val="0"/>
          <w:numId w:val="13"/>
        </w:numPr>
        <w:spacing w:before="0" w:after="40"/>
        <w:ind w:hanging="360" w:left="1080"/>
        <w:jc w:val="left"/>
        <w:rPr>
          <w:rStyle w:val="tpa1"/>
          <w:rFonts w:ascii="Arial" w:hAnsi="Arial" w:cs="Arial"/>
          <w:sz w:val="18"/>
          <w:szCs w:val="18"/>
          <w:lang w:val="fr-FR"/>
        </w:rPr>
      </w:pPr>
      <w:r>
        <w:rPr>
          <w:rStyle w:val="tal1"/>
          <w:rFonts w:eastAsia="Arial" w:cs="Arial" w:ascii="Arial" w:hAnsi="Arial"/>
          <w:color w:val="auto"/>
          <w:spacing w:val="0"/>
          <w:w w:val="100"/>
          <w:sz w:val="20"/>
          <w:szCs w:val="20"/>
          <w:lang w:val="ro-RO"/>
        </w:rPr>
        <w:t>să transfere la un alt loc de muncă, cu menținerea salariului de bază brut lunar, salariatele prevăzute la Art.</w:t>
      </w:r>
      <w:r>
        <w:rPr>
          <w:rStyle w:val="tli1"/>
          <w:rFonts w:eastAsia="Arial" w:cs="Arial" w:ascii="Arial" w:hAnsi="Arial"/>
          <w:color w:val="auto"/>
          <w:spacing w:val="0"/>
          <w:w w:val="100"/>
          <w:sz w:val="20"/>
          <w:szCs w:val="20"/>
          <w:lang w:val="ro-RO"/>
        </w:rPr>
        <w:t xml:space="preserve"> 54 lit. a, b, c, </w:t>
      </w:r>
      <w:r>
        <w:rPr>
          <w:rStyle w:val="tal1"/>
          <w:rFonts w:eastAsia="Arial" w:cs="Arial" w:ascii="Arial" w:hAnsi="Arial"/>
          <w:color w:val="auto"/>
          <w:spacing w:val="0"/>
          <w:w w:val="100"/>
          <w:sz w:val="20"/>
          <w:szCs w:val="20"/>
          <w:lang w:val="ro-RO"/>
        </w:rPr>
        <w:t>care desfășoară în mod curent muncă cu caracter insalubru sau greu de suportat.</w:t>
      </w:r>
    </w:p>
    <w:p>
      <w:pPr>
        <w:pStyle w:val="Normal"/>
        <w:widowControl/>
        <w:numPr>
          <w:ilvl w:val="0"/>
          <w:numId w:val="34"/>
        </w:numPr>
        <w:spacing w:before="0" w:after="40"/>
        <w:jc w:val="left"/>
        <w:rPr>
          <w:rStyle w:val="tpa1"/>
          <w:rFonts w:ascii="Arial" w:hAnsi="Arial" w:cs="Arial"/>
          <w:sz w:val="18"/>
          <w:szCs w:val="18"/>
          <w:lang w:val="fr-FR"/>
        </w:rPr>
      </w:pPr>
      <w:r>
        <w:rPr>
          <w:rStyle w:val="tpa1"/>
          <w:rFonts w:eastAsia="Arial" w:cs="Arial" w:ascii="Arial" w:hAnsi="Arial"/>
          <w:color w:val="auto"/>
          <w:spacing w:val="0"/>
          <w:w w:val="100"/>
          <w:sz w:val="20"/>
          <w:szCs w:val="20"/>
          <w:lang w:val="ro-RO"/>
        </w:rPr>
        <w:t xml:space="preserve">Pentru salariatele prevăzute la </w:t>
      </w:r>
      <w:r>
        <w:rPr>
          <w:rStyle w:val="tal1"/>
          <w:rFonts w:eastAsia="Arial" w:cs="Arial" w:ascii="Arial" w:hAnsi="Arial"/>
          <w:color w:val="auto"/>
          <w:spacing w:val="0"/>
          <w:w w:val="100"/>
          <w:sz w:val="20"/>
          <w:szCs w:val="20"/>
          <w:lang w:val="ro-RO"/>
        </w:rPr>
        <w:t>Art.</w:t>
      </w:r>
      <w:r>
        <w:rPr>
          <w:rStyle w:val="tli1"/>
          <w:rFonts w:eastAsia="Arial" w:cs="Arial" w:ascii="Arial" w:hAnsi="Arial"/>
          <w:color w:val="auto"/>
          <w:spacing w:val="0"/>
          <w:w w:val="100"/>
          <w:sz w:val="20"/>
          <w:szCs w:val="20"/>
          <w:lang w:val="ro-RO"/>
        </w:rPr>
        <w:t xml:space="preserve"> 54 lit. a, b, c, din prezentul regulament</w:t>
      </w:r>
      <w:r>
        <w:rPr>
          <w:rStyle w:val="tpa1"/>
          <w:rFonts w:eastAsia="Arial" w:cs="Arial" w:ascii="Arial" w:hAnsi="Arial"/>
          <w:color w:val="auto"/>
          <w:spacing w:val="0"/>
          <w:w w:val="100"/>
          <w:sz w:val="20"/>
          <w:szCs w:val="20"/>
          <w:lang w:val="ro-RO"/>
        </w:rPr>
        <w:t xml:space="preserve"> care desfășoară activitate care </w:t>
      </w:r>
      <w:r>
        <w:rPr>
          <w:rFonts w:eastAsia="Arial" w:cs="Arial" w:ascii="Arial" w:hAnsi="Arial"/>
          <w:color w:val="auto"/>
          <w:spacing w:val="0"/>
          <w:w w:val="100"/>
          <w:sz w:val="20"/>
          <w:szCs w:val="20"/>
          <w:lang w:val="ro-RO"/>
        </w:rPr>
        <w:t xml:space="preserve">prezintă riscuri pentru sănătate sau securitate ori cu repercusiuni asupra sarcinii și alăptării, angajatorul trebuie </w:t>
      </w:r>
      <w:r>
        <w:rPr>
          <w:rStyle w:val="tpa1"/>
          <w:rFonts w:eastAsia="Arial" w:cs="Arial" w:ascii="Arial" w:hAnsi="Arial"/>
          <w:color w:val="auto"/>
          <w:spacing w:val="0"/>
          <w:w w:val="100"/>
          <w:sz w:val="20"/>
          <w:szCs w:val="20"/>
          <w:lang w:val="ro-RO"/>
        </w:rPr>
        <w:t>să modifice în mod corespunzător condițiile și/ sau orarul de muncă ori, să repartizeze la alt loc de muncă, conform recomandării medicului de medicina muncii sau a medicului de familie, cu menținerea veniturilor salariale.</w:t>
      </w:r>
    </w:p>
    <w:p>
      <w:pPr>
        <w:pStyle w:val="Normal"/>
        <w:keepNext/>
        <w:widowControl/>
        <w:numPr>
          <w:ilvl w:val="0"/>
          <w:numId w:val="34"/>
        </w:numPr>
        <w:spacing w:before="0" w:after="40"/>
        <w:jc w:val="left"/>
        <w:rPr>
          <w:rFonts w:ascii="Arial" w:hAnsi="Arial" w:cs="Arial"/>
          <w:sz w:val="18"/>
          <w:szCs w:val="18"/>
          <w:lang w:val="fr-FR"/>
        </w:rPr>
      </w:pPr>
      <w:r>
        <w:rPr>
          <w:rStyle w:val="tal1"/>
          <w:rFonts w:eastAsia="Arial" w:cs="Arial" w:ascii="Arial" w:hAnsi="Arial"/>
          <w:color w:val="auto"/>
          <w:spacing w:val="0"/>
          <w:w w:val="100"/>
          <w:sz w:val="20"/>
          <w:szCs w:val="20"/>
          <w:lang w:val="ro-RO"/>
        </w:rPr>
        <w:t>În cazul în care angajatorul, din motive justificate în mod obiectiv, nu poate să îndeplinească obligația prevăzută la Art. 60, salariatele prevăzute la Art.</w:t>
      </w:r>
      <w:r>
        <w:rPr>
          <w:rStyle w:val="tli1"/>
          <w:rFonts w:eastAsia="Arial" w:cs="Arial" w:ascii="Arial" w:hAnsi="Arial"/>
          <w:color w:val="auto"/>
          <w:spacing w:val="0"/>
          <w:w w:val="100"/>
          <w:sz w:val="20"/>
          <w:szCs w:val="20"/>
          <w:lang w:val="ro-RO"/>
        </w:rPr>
        <w:t xml:space="preserve"> 54 lit. a, b, c, din prezentul regulament</w:t>
      </w:r>
      <w:r>
        <w:rPr>
          <w:rStyle w:val="tal1"/>
          <w:rFonts w:eastAsia="Arial" w:cs="Arial" w:ascii="Arial" w:hAnsi="Arial"/>
          <w:color w:val="auto"/>
          <w:spacing w:val="0"/>
          <w:w w:val="100"/>
          <w:sz w:val="20"/>
          <w:szCs w:val="20"/>
          <w:lang w:val="ro-RO"/>
        </w:rPr>
        <w:t xml:space="preserve"> au dreptul la concediu de risc maternal, numai dacă solicitarea este însoțită de documentul medical, astfel:</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până în a 63-a zi anterioară datei estimate a nașterii copilului, respectiv datei intrării în concediul de maternitate;</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după expirarea concediului postnatal obligatoriu și dacă este cazul, până la data intrării în concediu pentru creșterea copilului în vârstă de până la 2 ani sau în cazul copilului cu handicap, până la 3 ani;</w:t>
      </w:r>
    </w:p>
    <w:p>
      <w:pPr>
        <w:pStyle w:val="Normal"/>
        <w:widowControl/>
        <w:numPr>
          <w:ilvl w:val="0"/>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integral sau fracționat, înainte sau după nașterea copilului, pentru salariata care nu îndeplinește condițiile pentru a beneficia de concediul de maternitate.</w:t>
      </w:r>
    </w:p>
    <w:p>
      <w:pPr>
        <w:pStyle w:val="Normal"/>
        <w:widowControl/>
        <w:numPr>
          <w:ilvl w:val="0"/>
          <w:numId w:val="34"/>
        </w:numPr>
        <w:spacing w:before="0" w:after="40"/>
        <w:jc w:val="left"/>
        <w:rPr>
          <w:rFonts w:ascii="Arial" w:hAnsi="Arial" w:cs="Arial"/>
          <w:sz w:val="18"/>
          <w:szCs w:val="18"/>
          <w:lang w:val="it-IT"/>
        </w:rPr>
      </w:pPr>
      <w:r>
        <w:rPr>
          <w:rStyle w:val="tal1"/>
          <w:rFonts w:eastAsia="Arial" w:cs="Arial" w:ascii="Arial" w:hAnsi="Arial"/>
          <w:color w:val="auto"/>
          <w:spacing w:val="0"/>
          <w:w w:val="100"/>
          <w:sz w:val="20"/>
          <w:szCs w:val="20"/>
          <w:lang w:val="ro-RO"/>
        </w:rPr>
        <w:t>Concediul de risc maternal se poate acorda, în întregime sau fracționat, pe o perioadă ce nu poate depăși 120 de zile calendaristice, de către medicul de familie sau de medicul specialist, care va elibera un certificat medical în acest sens, dar nu poate fi acordat simultan cu alte concedii prevăzute de legislația privind sistemul public de pensii și alte drepturi de asigurări sociale.</w:t>
      </w:r>
    </w:p>
    <w:sectPr>
      <w:headerReference w:type="even" r:id="rId8"/>
      <w:headerReference w:type="default" r:id="rId9"/>
      <w:headerReference w:type="first" r:id="rId10"/>
      <w:footerReference w:type="even" r:id="rId11"/>
      <w:footerReference w:type="default" r:id="rId12"/>
      <w:footerReference w:type="first" r:id="rId13"/>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altName w:val="Calibri"/>
    <w:charset w:val="01"/>
    <w:family w:val="roman"/>
    <w:pitch w:val="variable"/>
  </w:font>
  <w:font w:name="TimesNewRomanPSMT">
    <w:altName w:val="Times New Roman"/>
    <w:charset w:val="01"/>
    <w:family w:val="roman"/>
    <w:pitch w:val="variable"/>
  </w:font>
  <w:font w:name="Wingdings">
    <w:charset w:val="02"/>
    <w:family w:val="roman"/>
    <w:pitch w:val="variable"/>
  </w:font>
  <w:font w:name="Courier New">
    <w:charset w:val="01"/>
    <w:family w:val="roman"/>
    <w:pitch w:val="variable"/>
  </w:font>
  <w:font w:name="Arial Unicode MS">
    <w:charset w:val="01"/>
    <w:family w:val="swiss"/>
    <w:pitch w:val="variable"/>
  </w:font>
  <w:font w:name="Century Gothic">
    <w:charset w:val="01"/>
    <w:family w:val="swiss"/>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Eurostyle">
    <w:altName w:val="Arial Narrow"/>
    <w:charset w:val="01"/>
    <w:family w:val="roman"/>
    <w:pitch w:val="variable"/>
  </w:font>
  <w:font w:name="TimesRomanR">
    <w:altName w:val="Times New Roman"/>
    <w:charset w:val="01"/>
    <w:family w:val="roman"/>
    <w:pitch w:val="variable"/>
  </w:font>
  <w:font w:name="HiddenHorzOCl">
    <w:altName w:val="Arial"/>
    <w:charset w:val="01"/>
    <w:family w:val="roman"/>
    <w:pitch w:val="variable"/>
  </w:font>
  <w:font w:name="Arial">
    <w:charset w:val="01"/>
    <w:family w:val="roman"/>
    <w:pitch w:val="variable"/>
  </w:font>
  <w:font w:name="Verdana">
    <w:charset w:val="01"/>
    <w:family w:val="swiss"/>
    <w:pitch w:val="variable"/>
  </w:font>
  <w:font w:name="Symbol">
    <w:charset w:val="02"/>
    <w:family w:val="auto"/>
    <w:pitch w:val="default"/>
  </w:font>
  <w:font w:name="Wingdings">
    <w:charset w:val="02"/>
    <w:family w:val="auto"/>
    <w:pitch w:val="default"/>
  </w:font>
  <w:font w:name="Courier New">
    <w:charset w:val="01"/>
    <w:family w:val="modern"/>
    <w:pitch w:val="fixed"/>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 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informare a angajatorului cu privire la prevederile legislative din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31</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Art. %1."/>
      <w:lvlJc w:val="left"/>
      <w:pPr>
        <w:tabs>
          <w:tab w:val="num" w:pos="1080"/>
        </w:tabs>
        <w:ind w:left="0" w:hanging="0"/>
      </w:pPr>
      <w:rPr>
        <w:rFonts w:ascii="Arial" w:hAnsi="Arial" w:cs="Arial"/>
        <w:b/>
        <w:i w:val="false"/>
        <w:sz w:val="18"/>
        <w:szCs w:val="18"/>
      </w:rPr>
    </w:lvl>
    <w:lvl w:ilvl="1">
      <w:start w:val="1"/>
      <w:numFmt w:val="decimal"/>
      <w:lvlText w:val="%2."/>
      <w:lvlJc w:val="left"/>
      <w:pPr>
        <w:tabs>
          <w:tab w:val="num" w:pos="720"/>
        </w:tabs>
        <w:ind w:left="720" w:hanging="360"/>
      </w:pPr>
      <w:rPr>
        <w:b/>
        <w:i w:val="false"/>
        <w:sz w:val="18"/>
        <w:szCs w:val="18"/>
      </w:rPr>
    </w:lvl>
    <w:lvl w:ilvl="2">
      <w:start w:val="1"/>
      <w:numFmt w:val="lowerLetter"/>
      <w:lvlText w:val="%3)"/>
      <w:lvlJc w:val="left"/>
      <w:pPr>
        <w:tabs>
          <w:tab w:val="num" w:pos="720"/>
        </w:tabs>
        <w:ind w:left="720" w:hanging="360"/>
      </w:pPr>
      <w:rPr>
        <w:b/>
        <w:i w:val="false"/>
        <w:sz w:val="18"/>
        <w:szCs w:val="18"/>
      </w:rPr>
    </w:lvl>
    <w:lvl w:ilvl="3">
      <w:start w:val="1"/>
      <w:numFmt w:val="lowerLetter"/>
      <w:lvlText w:val="%4)"/>
      <w:lvlJc w:val="left"/>
      <w:pPr>
        <w:tabs>
          <w:tab w:val="num" w:pos="720"/>
        </w:tabs>
        <w:ind w:left="720" w:hanging="360"/>
      </w:pPr>
      <w:rPr>
        <w:b/>
        <w:i w:val="false"/>
        <w:sz w:val="18"/>
        <w:szCs w:val="18"/>
      </w:rPr>
    </w:lvl>
    <w:lvl w:ilvl="4">
      <w:start w:val="1"/>
      <w:numFmt w:val="lowerLetter"/>
      <w:lvlText w:val="%5."/>
      <w:lvlJc w:val="left"/>
      <w:pPr>
        <w:tabs>
          <w:tab w:val="num" w:pos="3528"/>
        </w:tabs>
        <w:ind w:left="3528" w:hanging="360"/>
      </w:pPr>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10">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Symbol" w:hAnsi="Symbol" w:cs="Symbol" w:hint="default"/>
        <w:b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lvl w:ilvl="0">
      <w:start w:val="1"/>
      <w:numFmt w:val="lowerLetter"/>
      <w:lvlText w:val="%1)"/>
      <w:lvlJc w:val="left"/>
      <w:pPr>
        <w:tabs>
          <w:tab w:val="num" w:pos="720"/>
        </w:tabs>
        <w:ind w:left="720" w:hanging="360"/>
      </w:pPr>
      <w:rPr>
        <w:rFonts w:ascii="Arial" w:hAnsi="Arial" w:eastAsia="Times New Roman" w:cs="Arial"/>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lvl w:ilvl="0">
      <w:start w:val="1"/>
      <w:numFmt w:val="decimal"/>
      <w:lvlText w:val="%1."/>
      <w:lvlJc w:val="left"/>
      <w:pPr>
        <w:tabs>
          <w:tab w:val="num" w:pos="720"/>
        </w:tabs>
        <w:ind w:left="720" w:hanging="360"/>
      </w:pPr>
      <w:rPr>
        <w:b/>
        <w:i w:val="false"/>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lvl w:ilvl="0">
      <w:start w:val="1"/>
      <w:numFmt w:val="decimal"/>
      <w:lvlText w:val="Art. %1."/>
      <w:lvlJc w:val="left"/>
      <w:pPr>
        <w:tabs>
          <w:tab w:val="num" w:pos="1320"/>
        </w:tabs>
        <w:ind w:left="240" w:hanging="0"/>
      </w:pPr>
      <w:rPr>
        <w:rFonts w:ascii="Arial" w:hAnsi="Arial" w:cs="Arial"/>
        <w:b/>
        <w:i w:val="false"/>
        <w:sz w:val="18"/>
        <w:szCs w:val="18"/>
        <w:lang w:val="it-IT"/>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1"/>
      <w:numFmt w:val="lowerLetter"/>
      <w:lvlText w:val="%3)"/>
      <w:lvlJc w:val="left"/>
      <w:pPr>
        <w:tabs>
          <w:tab w:val="num" w:pos="720"/>
        </w:tabs>
        <w:ind w:left="720" w:hanging="360"/>
      </w:pPr>
      <w:rPr>
        <w:rFonts w:ascii="Arial" w:hAnsi="Arial" w:cs="Arial"/>
        <w:b/>
        <w:i w:val="false"/>
        <w:sz w:val="18"/>
        <w:szCs w:val="18"/>
        <w:lang w:val="it-IT"/>
      </w:rPr>
    </w:lvl>
    <w:lvl w:ilvl="3">
      <w:start w:val="1"/>
      <w:numFmt w:val="decimal"/>
      <w:lvlText w:val="%4."/>
      <w:lvlJc w:val="left"/>
      <w:pPr>
        <w:tabs>
          <w:tab w:val="num" w:pos="720"/>
        </w:tabs>
        <w:ind w:left="720" w:hanging="360"/>
      </w:pPr>
      <w:rPr>
        <w:b/>
        <w:i w:val="false"/>
        <w:sz w:val="18"/>
        <w:szCs w:val="18"/>
        <w:lang w:val="ro-RO"/>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3">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5">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9">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0">
    <w:lvl w:ilvl="0">
      <w:start w:val="1"/>
      <w:numFmt w:val="lowerLetter"/>
      <w:lvlText w:val="%1)"/>
      <w:lvlJc w:val="left"/>
      <w:pPr>
        <w:tabs>
          <w:tab w:val="num" w:pos="720"/>
        </w:tabs>
        <w:ind w:left="720" w:hanging="360"/>
      </w:pPr>
      <w:rPr>
        <w:rFonts w:ascii="Arial" w:hAnsi="Arial" w:eastAsia="Times New Roman" w:cs="Arial"/>
        <w:b/>
      </w:rPr>
    </w:lvl>
    <w:lvl w:ilvl="1">
      <w:start w:val="1"/>
      <w:numFmt w:val="bullet"/>
      <w:lvlText w:val=""/>
      <w:lvlJc w:val="left"/>
      <w:pPr>
        <w:tabs>
          <w:tab w:val="num" w:pos="720"/>
        </w:tabs>
        <w:ind w:left="720" w:hanging="360"/>
      </w:pPr>
      <w:rPr>
        <w:rFonts w:ascii="Symbol" w:hAnsi="Symbol" w:cs="Symbol" w:hint="default"/>
        <w:b/>
        <w:sz w:val="18"/>
        <w:szCs w:val="18"/>
      </w:rPr>
    </w:lvl>
    <w:lvl w:ilvl="2">
      <w:start w:val="1"/>
      <w:numFmt w:val="bullet"/>
      <w:lvlText w:val=""/>
      <w:lvlJc w:val="left"/>
      <w:pPr>
        <w:tabs>
          <w:tab w:val="num" w:pos="786"/>
        </w:tabs>
        <w:ind w:left="786"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2">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3">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4">
    <w:lvl w:ilvl="0">
      <w:start w:val="1"/>
      <w:numFmt w:val="decimal"/>
      <w:lvlText w:val="%1."/>
      <w:lvlJc w:val="left"/>
      <w:pPr>
        <w:tabs>
          <w:tab w:val="num" w:pos="720"/>
        </w:tabs>
        <w:ind w:left="720" w:hanging="360"/>
      </w:pPr>
      <w:rPr>
        <w:b/>
        <w:i w:val="false"/>
        <w:sz w:val="18"/>
        <w:szCs w:val="18"/>
        <w:lang w:val="ro-RO"/>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5">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6">
    <w:lvl w:ilvl="0">
      <w:start w:val="1"/>
      <w:numFmt w:val="lowerLetter"/>
      <w:lvlText w:val="%1)"/>
      <w:lvlJc w:val="left"/>
      <w:pPr>
        <w:tabs>
          <w:tab w:val="num" w:pos="720"/>
        </w:tabs>
        <w:ind w:left="720" w:hanging="360"/>
      </w:pPr>
      <w:rPr>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Symbol" w:hAnsi="Symbol" w:cs="Symbol" w:hint="default"/>
      </w:rPr>
    </w:lvl>
    <w:lvl w:ilvl="2">
      <w:start w:val="1"/>
      <w:numFmt w:val="decimal"/>
      <w:lvlText w:val="Art.%3."/>
      <w:lvlJc w:val="left"/>
      <w:pPr>
        <w:tabs>
          <w:tab w:val="num" w:pos="0"/>
        </w:tabs>
        <w:ind w:left="0" w:hanging="0"/>
      </w:pPr>
      <w:rPr>
        <w:rFonts w:ascii="Times New Roman" w:hAnsi="Times New Roman" w:cs="Times New Roman"/>
        <w:b/>
        <w:i w:val="false"/>
        <w:sz w:val="22"/>
        <w:szCs w:val="22"/>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0">
    <w:lvl w:ilvl="0">
      <w:start w:val="1"/>
      <w:numFmt w:val="lowerLetter"/>
      <w:lvlText w:val="%1)"/>
      <w:lvlJc w:val="left"/>
      <w:pPr>
        <w:tabs>
          <w:tab w:val="num" w:pos="720"/>
        </w:tabs>
        <w:ind w:left="720" w:hanging="360"/>
      </w:pPr>
      <w:rPr>
        <w:b/>
        <w:lang w:val="ro-RO"/>
      </w:rPr>
    </w:lvl>
    <w:lvl w:ilvl="1">
      <w:start w:val="1"/>
      <w:numFmt w:val="decimal"/>
      <w:lvlText w:val="Art.%2."/>
      <w:lvlJc w:val="left"/>
      <w:pPr>
        <w:tabs>
          <w:tab w:val="num" w:pos="1080"/>
        </w:tabs>
        <w:ind w:left="1080" w:hanging="0"/>
      </w:pPr>
      <w:rPr>
        <w:b/>
        <w:i w:val="false"/>
        <w:sz w:val="22"/>
        <w:szCs w:val="22"/>
      </w:rPr>
    </w:lvl>
    <w:lvl w:ilvl="2">
      <w:start w:val="1"/>
      <w:numFmt w:val="lowerLetter"/>
      <w:lvlText w:val="%3)"/>
      <w:lvlJc w:val="left"/>
      <w:pPr>
        <w:tabs>
          <w:tab w:val="num" w:pos="720"/>
        </w:tabs>
        <w:ind w:left="720" w:hanging="360"/>
      </w:pPr>
      <w:rPr>
        <w:b/>
      </w:rPr>
    </w:lvl>
    <w:lvl w:ilvl="3">
      <w:start w:val="2"/>
      <w:numFmt w:val="bullet"/>
      <w:lvlText w:val="-"/>
      <w:lvlJc w:val="left"/>
      <w:pPr>
        <w:tabs>
          <w:tab w:val="num" w:pos="2880"/>
        </w:tabs>
        <w:ind w:left="2880" w:hanging="360"/>
      </w:pPr>
      <w:rPr>
        <w:rFonts w:ascii="Times New Roman" w:hAnsi="Times New Roman" w:cs="Times New Roman" w:hint="default"/>
      </w:rPr>
    </w:lvl>
    <w:lvl w:ilvl="4">
      <w:start w:val="1"/>
      <w:numFmt w:val="decimal"/>
      <w:lvlText w:val="(%5)"/>
      <w:lvlJc w:val="left"/>
      <w:pPr>
        <w:tabs>
          <w:tab w:val="num" w:pos="3600"/>
        </w:tabs>
        <w:ind w:left="3600" w:hanging="360"/>
      </w:pPr>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1">
    <w:lvl w:ilvl="0">
      <w:start w:val="1"/>
      <w:numFmt w:val="lowerLetter"/>
      <w:lvlText w:val="%1)"/>
      <w:lvlJc w:val="left"/>
      <w:pPr>
        <w:tabs>
          <w:tab w:val="num" w:pos="720"/>
        </w:tabs>
        <w:ind w:left="720" w:hanging="360"/>
      </w:pPr>
      <w:rPr>
        <w:rFonts w:ascii="Arial" w:hAnsi="Arial" w:cs="Arial"/>
        <w:b/>
        <w:sz w:val="18"/>
        <w:szCs w:val="18"/>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2">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3">
    <w:lvl w:ilvl="0">
      <w:start w:val="1"/>
      <w:numFmt w:val="lowerLetter"/>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4">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6">
    <w:lvl w:ilvl="0">
      <w:start w:val="1"/>
      <w:numFmt w:val="lowerLetter"/>
      <w:lvlText w:val="%1)"/>
      <w:lvlJc w:val="left"/>
      <w:pPr>
        <w:tabs>
          <w:tab w:val="num" w:pos="720"/>
        </w:tabs>
        <w:ind w:left="720" w:hanging="360"/>
      </w:pPr>
      <w:rPr>
        <w:rFonts w:ascii="Arial" w:hAnsi="Arial" w:cs="Arial"/>
        <w:b/>
        <w:i w:val="false"/>
        <w:sz w:val="18"/>
        <w:szCs w:val="18"/>
        <w:lang w:val="it-I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7">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8">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9">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52">
    <w:lvl w:ilvl="0">
      <w:start w:val="1"/>
      <w:numFmt w:val="decimal"/>
      <w:lvlText w:val="%1."/>
      <w:lvlJc w:val="left"/>
      <w:pPr>
        <w:tabs>
          <w:tab w:val="num" w:pos="720"/>
        </w:tabs>
        <w:ind w:left="720" w:hanging="360"/>
      </w:pPr>
      <w:rPr>
        <w:b/>
        <w:i w:val="false"/>
        <w:sz w:val="18"/>
        <w:szCs w:val="18"/>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lowerLetter"/>
      <w:lvlText w:val="%4)"/>
      <w:lvlJc w:val="left"/>
      <w:pPr>
        <w:tabs>
          <w:tab w:val="num" w:pos="720"/>
        </w:tabs>
        <w:ind w:left="720" w:hanging="360"/>
      </w:pPr>
      <w:rPr>
        <w:b/>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0"/>
    <w:lvlOverride w:ilvl="0">
      <w:startOverride w:val="1"/>
    </w:lvlOverride>
  </w:num>
  <w:num w:numId="53">
    <w:abstractNumId w:val="5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zh-CN" w:bidi="ar-SA"/>
    </w:rPr>
  </w:style>
  <w:style w:type="paragraph" w:styleId="Heading1">
    <w:name w:val="heading 1"/>
    <w:basedOn w:val="Normal"/>
    <w:next w:val="Normal"/>
    <w:pPr>
      <w:keepNext w:val="true"/>
      <w:numPr>
        <w:ilvl w:val="0"/>
        <w:numId w:val="1"/>
      </w:numPr>
      <w:spacing w:before="240" w:after="60"/>
      <w:outlineLvl w:val="0"/>
    </w:pPr>
    <w:rPr>
      <w:rFonts w:ascii="Arial" w:hAnsi="Arial" w:cs="Arial"/>
      <w:b/>
      <w:bCs/>
      <w:kern w:val="2"/>
      <w:sz w:val="32"/>
      <w:szCs w:val="32"/>
      <w:lang w:val="en-US"/>
    </w:rPr>
  </w:style>
  <w:style w:type="paragraph" w:styleId="Heading2">
    <w:name w:val="heading 2"/>
    <w:basedOn w:val="Normal"/>
    <w:next w:val="Normal"/>
    <w:pPr>
      <w:keepNext w:val="true"/>
      <w:numPr>
        <w:ilvl w:val="1"/>
        <w:numId w:val="1"/>
      </w:numPr>
      <w:tabs>
        <w:tab w:val="clear" w:pos="720"/>
        <w:tab w:val="left" w:pos="504" w:leader="none"/>
      </w:tabs>
      <w:ind w:hanging="0" w:left="-576" w:right="0"/>
      <w:outlineLvl w:val="1"/>
    </w:pPr>
    <w:rPr>
      <w:b/>
      <w:sz w:val="28"/>
    </w:rPr>
  </w:style>
  <w:style w:type="paragraph" w:styleId="Heading3">
    <w:name w:val="heading 3"/>
    <w:basedOn w:val="Normal"/>
    <w:next w:val="Normal"/>
    <w:pPr>
      <w:keepNext w:val="true"/>
      <w:numPr>
        <w:ilvl w:val="2"/>
        <w:numId w:val="1"/>
      </w:numPr>
      <w:tabs>
        <w:tab w:val="clear" w:pos="720"/>
        <w:tab w:val="left" w:pos="432" w:leader="none"/>
      </w:tabs>
      <w:ind w:hanging="432" w:left="432" w:right="0"/>
      <w:outlineLvl w:val="2"/>
    </w:pPr>
    <w:rPr>
      <w:rFonts w:ascii="Metro;Calibri" w:hAnsi="Metro;Calibri" w:cs="Metro;Calibri"/>
      <w:b/>
      <w:caps/>
      <w:sz w:val="32"/>
    </w:rPr>
  </w:style>
  <w:style w:type="paragraph" w:styleId="Heading4">
    <w:name w:val="heading 4"/>
    <w:basedOn w:val="Normal"/>
    <w:next w:val="Normal"/>
    <w:pPr>
      <w:keepNext w:val="true"/>
      <w:numPr>
        <w:ilvl w:val="3"/>
        <w:numId w:val="1"/>
      </w:numPr>
      <w:tabs>
        <w:tab w:val="clear" w:pos="720"/>
        <w:tab w:val="left" w:pos="288" w:leader="none"/>
      </w:tabs>
      <w:ind w:hanging="144" w:left="288" w:right="0"/>
      <w:jc w:val="center"/>
      <w:outlineLvl w:val="3"/>
    </w:pPr>
    <w:rPr>
      <w:b/>
      <w:sz w:val="28"/>
    </w:rPr>
  </w:style>
  <w:style w:type="paragraph" w:styleId="Heading5">
    <w:name w:val="heading 5"/>
    <w:basedOn w:val="Normal"/>
    <w:next w:val="Normal"/>
    <w:pPr>
      <w:keepNext w:val="true"/>
      <w:numPr>
        <w:ilvl w:val="4"/>
        <w:numId w:val="1"/>
      </w:numPr>
      <w:jc w:val="center"/>
      <w:outlineLvl w:val="4"/>
    </w:pPr>
    <w:rPr>
      <w:i/>
      <w:iCs/>
      <w:lang w:val="ro-RO"/>
    </w:rPr>
  </w:style>
  <w:style w:type="paragraph" w:styleId="Heading6">
    <w:name w:val="heading 6"/>
    <w:basedOn w:val="Normal"/>
    <w:next w:val="Normal"/>
    <w:pPr>
      <w:numPr>
        <w:ilvl w:val="5"/>
        <w:numId w:val="1"/>
      </w:numPr>
      <w:spacing w:before="240" w:after="60"/>
      <w:outlineLvl w:val="5"/>
    </w:pPr>
    <w:rPr>
      <w:b/>
      <w:bCs/>
      <w:sz w:val="22"/>
      <w:szCs w:val="22"/>
    </w:rPr>
  </w:style>
  <w:style w:type="paragraph" w:styleId="Heading7">
    <w:name w:val="heading 7"/>
    <w:basedOn w:val="Normal"/>
    <w:next w:val="Normal"/>
    <w:pPr>
      <w:keepNext w:val="true"/>
      <w:numPr>
        <w:ilvl w:val="6"/>
        <w:numId w:val="1"/>
      </w:numPr>
      <w:tabs>
        <w:tab w:val="left" w:pos="720" w:leader="none"/>
      </w:tabs>
      <w:ind w:hanging="288" w:left="720" w:right="0"/>
      <w:jc w:val="center"/>
      <w:outlineLvl w:val="6"/>
    </w:pPr>
    <w:rPr>
      <w:sz w:val="28"/>
    </w:rPr>
  </w:style>
  <w:style w:type="paragraph" w:styleId="Heading8">
    <w:name w:val="heading 8"/>
    <w:basedOn w:val="Normal"/>
    <w:next w:val="Normal"/>
    <w:pPr>
      <w:keepNext w:val="true"/>
      <w:numPr>
        <w:ilvl w:val="7"/>
        <w:numId w:val="1"/>
      </w:numPr>
      <w:tabs>
        <w:tab w:val="clear" w:pos="720"/>
        <w:tab w:val="left" w:pos="864" w:leader="none"/>
      </w:tabs>
      <w:ind w:hanging="432" w:left="864" w:right="0"/>
      <w:jc w:val="center"/>
      <w:outlineLvl w:val="7"/>
    </w:pPr>
    <w:rPr>
      <w:rFonts w:ascii="TimesNewRomanPSMT;Times New Roman" w:hAnsi="TimesNewRomanPSMT;Times New Roman" w:cs="TimesNewRomanPSMT;Times New Roman"/>
      <w:sz w:val="24"/>
    </w:rPr>
  </w:style>
  <w:style w:type="paragraph" w:styleId="Heading9">
    <w:name w:val="heading 9"/>
    <w:basedOn w:val="Normal"/>
    <w:next w:val="Normal"/>
    <w:pPr>
      <w:keepNext w:val="true"/>
      <w:numPr>
        <w:ilvl w:val="8"/>
        <w:numId w:val="1"/>
      </w:numPr>
      <w:tabs>
        <w:tab w:val="clear" w:pos="720"/>
        <w:tab w:val="left" w:pos="1008" w:leader="none"/>
      </w:tabs>
      <w:ind w:hanging="144" w:left="1008" w:right="0"/>
      <w:jc w:val="center"/>
      <w:outlineLvl w:val="8"/>
    </w:pPr>
    <w:rPr>
      <w:b/>
      <w:bCs/>
      <w:sz w:val="24"/>
      <w:szCs w:val="24"/>
      <w:lang w:val="en-GB"/>
    </w:rPr>
  </w:style>
  <w:style w:type="character" w:styleId="WW8Num1z0">
    <w:name w:val="WW8Num1z0"/>
    <w:rPr>
      <w:rFonts w:ascii="Arial" w:hAnsi="Arial" w:cs="Arial"/>
      <w:b/>
      <w:i w:val="false"/>
      <w:sz w:val="18"/>
      <w:szCs w:val="18"/>
      <w:lang w:val="it-IT"/>
    </w:rPr>
  </w:style>
  <w:style w:type="character" w:styleId="WW8Num2z0">
    <w:name w:val="WW8Num2z0"/>
    <w:rPr>
      <w:b/>
    </w:rPr>
  </w:style>
  <w:style w:type="character" w:styleId="WW8Num3z0">
    <w:name w:val="WW8Num3z0"/>
    <w:rPr>
      <w:rFonts w:ascii="Arial" w:hAnsi="Arial" w:cs="Arial"/>
      <w:b/>
      <w:i w:val="false"/>
      <w:sz w:val="18"/>
      <w:szCs w:val="18"/>
      <w:lang w:val="it-IT"/>
    </w:rPr>
  </w:style>
  <w:style w:type="character" w:styleId="WW8Num4z0">
    <w:name w:val="WW8Num4z0"/>
    <w:rPr>
      <w:b/>
    </w:rPr>
  </w:style>
  <w:style w:type="character" w:styleId="WW8Num5z0">
    <w:name w:val="WW8Num5z0"/>
    <w:rPr>
      <w:b/>
    </w:rPr>
  </w:style>
  <w:style w:type="character" w:styleId="WW8Num6z0">
    <w:name w:val="WW8Num6z0"/>
    <w:rPr>
      <w:b/>
    </w:rPr>
  </w:style>
  <w:style w:type="character" w:styleId="WW8Num7z0">
    <w:name w:val="WW8Num7z0"/>
    <w:rPr>
      <w:b/>
      <w:i w:val="false"/>
      <w:sz w:val="18"/>
      <w:szCs w:val="18"/>
    </w:rPr>
  </w:style>
  <w:style w:type="character" w:styleId="WW8Num7z3">
    <w:name w:val="WW8Num7z3"/>
    <w:rPr>
      <w:b/>
    </w:rPr>
  </w:style>
  <w:style w:type="character" w:styleId="WW8Num8z0">
    <w:name w:val="WW8Num8z0"/>
    <w:rPr>
      <w:rFonts w:ascii="Arial" w:hAnsi="Arial" w:cs="Arial"/>
      <w:b/>
      <w:i w:val="false"/>
      <w:sz w:val="18"/>
      <w:szCs w:val="18"/>
      <w:lang w:val="it-IT"/>
    </w:rPr>
  </w:style>
  <w:style w:type="character" w:styleId="WW8Num9z0">
    <w:name w:val="WW8Num9z0"/>
    <w:rPr>
      <w:rFonts w:ascii="Arial" w:hAnsi="Arial" w:cs="Arial"/>
      <w:b/>
      <w:i w:val="false"/>
      <w:sz w:val="18"/>
      <w:szCs w:val="18"/>
    </w:rPr>
  </w:style>
  <w:style w:type="character" w:styleId="WW8Num9z1">
    <w:name w:val="WW8Num9z1"/>
    <w:rPr>
      <w:b/>
      <w:i w:val="false"/>
      <w:sz w:val="18"/>
      <w:szCs w:val="18"/>
    </w:rPr>
  </w:style>
  <w:style w:type="character" w:styleId="WW8Num10z0">
    <w:name w:val="WW8Num10z0"/>
    <w:rPr>
      <w:b/>
    </w:rPr>
  </w:style>
  <w:style w:type="character" w:styleId="WW8Num10z1">
    <w:name w:val="WW8Num10z1"/>
    <w:rPr>
      <w:rFonts w:ascii="Symbol" w:hAnsi="Symbol" w:cs="Symbol"/>
      <w:b w:val="false"/>
      <w:sz w:val="18"/>
      <w:szCs w:val="18"/>
    </w:rPr>
  </w:style>
  <w:style w:type="character" w:styleId="WW8Num10z2">
    <w:name w:val="WW8Num10z2"/>
    <w:rPr>
      <w:rFonts w:ascii="Wingdings" w:hAnsi="Wingdings" w:cs="Wingdings"/>
    </w:rPr>
  </w:style>
  <w:style w:type="character" w:styleId="WW8Num10z3">
    <w:name w:val="WW8Num10z3"/>
    <w:rPr>
      <w:rFonts w:ascii="Symbol" w:hAnsi="Symbol" w:cs="Symbol"/>
    </w:rPr>
  </w:style>
  <w:style w:type="character" w:styleId="WW8Num10z4">
    <w:name w:val="WW8Num10z4"/>
    <w:rPr>
      <w:rFonts w:ascii="Courier New" w:hAnsi="Courier New" w:cs="Courier New"/>
    </w:rPr>
  </w:style>
  <w:style w:type="character" w:styleId="WW8Num11z0">
    <w:name w:val="WW8Num11z0"/>
    <w:rPr>
      <w:rFonts w:ascii="Arial" w:hAnsi="Arial" w:cs="Arial"/>
      <w:b/>
      <w:i w:val="false"/>
      <w:spacing w:val="0"/>
      <w:w w:val="100"/>
      <w:kern w:val="2"/>
      <w:position w:val="0"/>
      <w:sz w:val="22"/>
      <w:szCs w:val="22"/>
      <w:vertAlign w:val="baseline"/>
    </w:rPr>
  </w:style>
  <w:style w:type="character" w:styleId="WW8Num11z1">
    <w:name w:val="WW8Num11z1"/>
    <w:rPr>
      <w:lang w:val="fr-FR"/>
    </w:rPr>
  </w:style>
  <w:style w:type="character" w:styleId="WW8Num11z2">
    <w:name w:val="WW8Num11z2"/>
    <w:rPr/>
  </w:style>
  <w:style w:type="character" w:styleId="WW8Num11z5">
    <w:name w:val="WW8Num11z5"/>
    <w:rPr>
      <w:b/>
    </w:rPr>
  </w:style>
  <w:style w:type="character" w:styleId="WW8Num12z0">
    <w:name w:val="WW8Num12z0"/>
    <w:rPr>
      <w:rFonts w:ascii="Arial" w:hAnsi="Arial" w:cs="Arial"/>
      <w:b/>
      <w:i w:val="false"/>
      <w:sz w:val="18"/>
      <w:szCs w:val="18"/>
      <w:lang w:val="it-IT"/>
    </w:rPr>
  </w:style>
  <w:style w:type="character" w:styleId="WW8Num13z0">
    <w:name w:val="WW8Num13z0"/>
    <w:rPr>
      <w:b/>
    </w:rPr>
  </w:style>
  <w:style w:type="character" w:styleId="WW8Num14z0">
    <w:name w:val="WW8Num14z0"/>
    <w:rPr>
      <w:b/>
    </w:rPr>
  </w:style>
  <w:style w:type="character" w:styleId="WW8Num15z0">
    <w:name w:val="WW8Num15z0"/>
    <w:rPr>
      <w:b/>
    </w:rPr>
  </w:style>
  <w:style w:type="character" w:styleId="WW8Num16z0">
    <w:name w:val="WW8Num16z0"/>
    <w:rPr>
      <w:rFonts w:ascii="Arial" w:hAnsi="Arial" w:eastAsia="Times New Roman" w:cs="Arial"/>
      <w:b/>
      <w:i w:val="false"/>
      <w:sz w:val="18"/>
      <w:szCs w:val="18"/>
    </w:rPr>
  </w:style>
  <w:style w:type="character" w:styleId="WW8Num17z0">
    <w:name w:val="WW8Num17z0"/>
    <w:rPr>
      <w:b/>
    </w:rPr>
  </w:style>
  <w:style w:type="character" w:styleId="WW8Num17z1">
    <w:name w:val="WW8Num17z1"/>
    <w:rPr>
      <w:rFonts w:ascii="Courier New" w:hAnsi="Courier New" w:cs="Courier New"/>
    </w:rPr>
  </w:style>
  <w:style w:type="character" w:styleId="WW8Num17z2">
    <w:name w:val="WW8Num17z2"/>
    <w:rPr>
      <w:rFonts w:ascii="Wingdings" w:hAnsi="Wingdings" w:cs="Wingdings"/>
    </w:rPr>
  </w:style>
  <w:style w:type="character" w:styleId="WW8Num17z3">
    <w:name w:val="WW8Num17z3"/>
    <w:rPr>
      <w:rFonts w:ascii="Symbol" w:hAnsi="Symbol" w:cs="Symbol"/>
    </w:rPr>
  </w:style>
  <w:style w:type="character" w:styleId="WW8Num18z0">
    <w:name w:val="WW8Num18z0"/>
    <w:rPr>
      <w:b/>
      <w:i w:val="false"/>
      <w:sz w:val="18"/>
      <w:szCs w:val="18"/>
    </w:rPr>
  </w:style>
  <w:style w:type="character" w:styleId="WW8Num19z0">
    <w:name w:val="WW8Num19z0"/>
    <w:rPr>
      <w:rFonts w:ascii="Arial" w:hAnsi="Arial" w:eastAsia="Times New Roman" w:cs="Arial"/>
      <w:b/>
    </w:rPr>
  </w:style>
  <w:style w:type="character" w:styleId="WW8Num19z1">
    <w:name w:val="WW8Num19z1"/>
    <w:rPr>
      <w:rFonts w:ascii="Courier New" w:hAnsi="Courier New" w:cs="Courier New"/>
    </w:rPr>
  </w:style>
  <w:style w:type="character" w:styleId="WW8Num19z2">
    <w:name w:val="WW8Num19z2"/>
    <w:rPr>
      <w:rFonts w:ascii="Wingdings" w:hAnsi="Wingdings" w:cs="Wingdings"/>
    </w:rPr>
  </w:style>
  <w:style w:type="character" w:styleId="WW8Num19z3">
    <w:name w:val="WW8Num19z3"/>
    <w:rPr>
      <w:rFonts w:ascii="Symbol" w:hAnsi="Symbol" w:cs="Symbol"/>
    </w:rPr>
  </w:style>
  <w:style w:type="character" w:styleId="WW8Num20z0">
    <w:name w:val="WW8Num20z0"/>
    <w:rPr>
      <w:b/>
      <w:sz w:val="18"/>
      <w:szCs w:val="18"/>
    </w:rPr>
  </w:style>
  <w:style w:type="character" w:styleId="WW8Num21z0">
    <w:name w:val="WW8Num21z0"/>
    <w:rPr>
      <w:b/>
      <w:i w:val="false"/>
      <w:sz w:val="18"/>
      <w:szCs w:val="18"/>
      <w:lang w:val="ro-RO"/>
    </w:rPr>
  </w:style>
  <w:style w:type="character" w:styleId="WW8Num22z0">
    <w:name w:val="WW8Num22z0"/>
    <w:rPr>
      <w:rFonts w:ascii="Arial" w:hAnsi="Arial" w:cs="Arial"/>
      <w:b/>
      <w:i w:val="false"/>
      <w:sz w:val="18"/>
      <w:szCs w:val="18"/>
      <w:lang w:val="it-IT"/>
    </w:rPr>
  </w:style>
  <w:style w:type="character" w:styleId="WW8Num22z1">
    <w:name w:val="WW8Num22z1"/>
    <w:rPr>
      <w:rFonts w:ascii="Arial" w:hAnsi="Arial" w:cs="Arial"/>
      <w:b/>
      <w:i w:val="false"/>
      <w:sz w:val="20"/>
      <w:szCs w:val="20"/>
      <w:lang w:val="es-ES_tradnl"/>
    </w:rPr>
  </w:style>
  <w:style w:type="character" w:styleId="WW8Num22z2">
    <w:name w:val="WW8Num22z2"/>
    <w:rPr>
      <w:rFonts w:ascii="Arial" w:hAnsi="Arial" w:cs="Arial"/>
      <w:b/>
      <w:i w:val="false"/>
      <w:sz w:val="18"/>
      <w:szCs w:val="18"/>
      <w:lang w:val="it-IT"/>
    </w:rPr>
  </w:style>
  <w:style w:type="character" w:styleId="WW8Num22z3">
    <w:name w:val="WW8Num22z3"/>
    <w:rPr>
      <w:b/>
      <w:i w:val="false"/>
      <w:sz w:val="18"/>
      <w:szCs w:val="18"/>
      <w:lang w:val="ro-RO"/>
    </w:rPr>
  </w:style>
  <w:style w:type="character" w:styleId="WW8Num22z4">
    <w:name w:val="WW8Num22z4"/>
    <w:rPr>
      <w:b/>
    </w:rPr>
  </w:style>
  <w:style w:type="character" w:styleId="WW8Num22z5">
    <w:name w:val="WW8Num22z5"/>
    <w:rPr>
      <w:b/>
    </w:rPr>
  </w:style>
  <w:style w:type="character" w:styleId="WW8Num23z0">
    <w:name w:val="WW8Num23z0"/>
    <w:rPr>
      <w:rFonts w:ascii="Arial" w:hAnsi="Arial" w:cs="Arial"/>
      <w:b/>
      <w:i w:val="false"/>
      <w:sz w:val="18"/>
      <w:szCs w:val="18"/>
      <w:lang w:val="it-IT"/>
    </w:rPr>
  </w:style>
  <w:style w:type="character" w:styleId="WW8Num24z0">
    <w:name w:val="WW8Num24z0"/>
    <w:rPr>
      <w:b/>
      <w:i w:val="false"/>
      <w:sz w:val="18"/>
      <w:szCs w:val="18"/>
      <w:lang w:val="ro-RO"/>
    </w:rPr>
  </w:style>
  <w:style w:type="character" w:styleId="WW8Num25z0">
    <w:name w:val="WW8Num25z0"/>
    <w:rPr>
      <w:rFonts w:ascii="Arial" w:hAnsi="Arial" w:eastAsia="Times New Roman" w:cs="Arial"/>
      <w:b/>
    </w:rPr>
  </w:style>
  <w:style w:type="character" w:styleId="WW8Num25z1">
    <w:name w:val="WW8Num25z1"/>
    <w:rPr>
      <w:rFonts w:ascii="Courier New" w:hAnsi="Courier New" w:cs="Courier New"/>
    </w:rPr>
  </w:style>
  <w:style w:type="character" w:styleId="WW8Num25z2">
    <w:name w:val="WW8Num25z2"/>
    <w:rPr>
      <w:rFonts w:ascii="Wingdings" w:hAnsi="Wingdings" w:cs="Wingdings"/>
    </w:rPr>
  </w:style>
  <w:style w:type="character" w:styleId="WW8Num25z3">
    <w:name w:val="WW8Num25z3"/>
    <w:rPr>
      <w:rFonts w:ascii="Symbol" w:hAnsi="Symbol" w:cs="Symbol"/>
    </w:rPr>
  </w:style>
  <w:style w:type="character" w:styleId="WW8Num26z0">
    <w:name w:val="WW8Num26z0"/>
    <w:rPr>
      <w:rFonts w:ascii="Times New Roman" w:hAnsi="Times New Roman" w:cs="Times New Roman"/>
      <w:b/>
      <w:sz w:val="24"/>
    </w:rPr>
  </w:style>
  <w:style w:type="character" w:styleId="WW8Num27z0">
    <w:name w:val="WW8Num27z0"/>
    <w:rPr>
      <w:b/>
    </w:rPr>
  </w:style>
  <w:style w:type="character" w:styleId="WW8Num28z0">
    <w:name w:val="WW8Num28z0"/>
    <w:rPr>
      <w:b/>
      <w:sz w:val="18"/>
      <w:szCs w:val="18"/>
    </w:rPr>
  </w:style>
  <w:style w:type="character" w:styleId="WW8Num29z0">
    <w:name w:val="WW8Num29z0"/>
    <w:rPr>
      <w:rFonts w:ascii="Arial" w:hAnsi="Arial" w:cs="Arial"/>
      <w:b/>
      <w:i w:val="false"/>
      <w:sz w:val="18"/>
      <w:szCs w:val="18"/>
      <w:lang w:val="it-IT"/>
    </w:rPr>
  </w:style>
  <w:style w:type="character" w:styleId="WW8Num30z0">
    <w:name w:val="WW8Num30z0"/>
    <w:rPr>
      <w:b/>
    </w:rPr>
  </w:style>
  <w:style w:type="character" w:styleId="WW8Num31z0">
    <w:name w:val="WW8Num31z0"/>
    <w:rPr>
      <w:rFonts w:ascii="Arial" w:hAnsi="Arial" w:cs="Arial"/>
      <w:b/>
      <w:i w:val="false"/>
      <w:sz w:val="18"/>
      <w:szCs w:val="18"/>
      <w:lang w:val="it-IT"/>
    </w:rPr>
  </w:style>
  <w:style w:type="character" w:styleId="WW8Num32z0">
    <w:name w:val="WW8Num32z0"/>
    <w:rPr>
      <w:b/>
      <w:i w:val="false"/>
      <w:sz w:val="18"/>
      <w:szCs w:val="18"/>
      <w:lang w:val="ro-RO"/>
    </w:rPr>
  </w:style>
  <w:style w:type="character" w:styleId="WW8Num33z0">
    <w:name w:val="WW8Num33z0"/>
    <w:rPr>
      <w:rFonts w:ascii="Arial" w:hAnsi="Arial" w:eastAsia="Times New Roman" w:cs="Arial"/>
      <w:b/>
    </w:rPr>
  </w:style>
  <w:style w:type="character" w:styleId="WW8Num33z1">
    <w:name w:val="WW8Num33z1"/>
    <w:rPr>
      <w:rFonts w:ascii="Symbol" w:hAnsi="Symbol" w:cs="Symbol"/>
      <w:b/>
      <w:sz w:val="18"/>
      <w:szCs w:val="18"/>
    </w:rPr>
  </w:style>
  <w:style w:type="character" w:styleId="WW8Num33z2">
    <w:name w:val="WW8Num33z2"/>
    <w:rPr>
      <w:rFonts w:ascii="Wingdings" w:hAnsi="Wingdings" w:cs="Wingdings"/>
    </w:rPr>
  </w:style>
  <w:style w:type="character" w:styleId="WW8Num33z3">
    <w:name w:val="WW8Num33z3"/>
    <w:rPr>
      <w:rFonts w:ascii="Symbol" w:hAnsi="Symbol" w:cs="Symbol"/>
    </w:rPr>
  </w:style>
  <w:style w:type="character" w:styleId="WW8Num33z4">
    <w:name w:val="WW8Num33z4"/>
    <w:rPr>
      <w:rFonts w:ascii="Courier New" w:hAnsi="Courier New" w:cs="Courier New"/>
    </w:rPr>
  </w:style>
  <w:style w:type="character" w:styleId="WW8Num33z5">
    <w:name w:val="WW8Num33z5"/>
    <w:rPr>
      <w:rFonts w:ascii="Wingdings" w:hAnsi="Wingdings" w:cs="Wingdings"/>
    </w:rPr>
  </w:style>
  <w:style w:type="character" w:styleId="WW8Num34z0">
    <w:name w:val="WW8Num34z0"/>
    <w:rPr>
      <w:rFonts w:ascii="Arial" w:hAnsi="Arial" w:cs="Arial"/>
      <w:b/>
      <w:i w:val="false"/>
      <w:sz w:val="18"/>
      <w:szCs w:val="18"/>
      <w:lang w:val="it-IT"/>
    </w:rPr>
  </w:style>
  <w:style w:type="character" w:styleId="WW8Num35z0">
    <w:name w:val="WW8Num35z0"/>
    <w:rPr>
      <w:rFonts w:ascii="Arial" w:hAnsi="Arial" w:eastAsia="Times New Roman" w:cs="Arial"/>
      <w:b/>
    </w:rPr>
  </w:style>
  <w:style w:type="character" w:styleId="WW8Num35z1">
    <w:name w:val="WW8Num35z1"/>
    <w:rPr>
      <w:rFonts w:ascii="Courier New" w:hAnsi="Courier New" w:cs="Courier New"/>
    </w:rPr>
  </w:style>
  <w:style w:type="character" w:styleId="WW8Num35z2">
    <w:name w:val="WW8Num35z2"/>
    <w:rPr>
      <w:rFonts w:ascii="Wingdings" w:hAnsi="Wingdings" w:cs="Wingdings"/>
    </w:rPr>
  </w:style>
  <w:style w:type="character" w:styleId="WW8Num35z3">
    <w:name w:val="WW8Num35z3"/>
    <w:rPr>
      <w:rFonts w:ascii="Symbol" w:hAnsi="Symbol" w:cs="Symbol"/>
    </w:rPr>
  </w:style>
  <w:style w:type="character" w:styleId="WW8Num36z0">
    <w:name w:val="WW8Num36z0"/>
    <w:rPr>
      <w:rFonts w:ascii="Arial" w:hAnsi="Arial" w:cs="Arial"/>
      <w:b/>
      <w:i w:val="false"/>
      <w:sz w:val="18"/>
      <w:szCs w:val="18"/>
      <w:lang w:val="it-IT"/>
    </w:rPr>
  </w:style>
  <w:style w:type="character" w:styleId="WW8Num37z0">
    <w:name w:val="WW8Num37z0"/>
    <w:rPr>
      <w:b/>
    </w:rPr>
  </w:style>
  <w:style w:type="character" w:styleId="WW8Num38z0">
    <w:name w:val="WW8Num38z0"/>
    <w:rPr>
      <w:rFonts w:ascii="Times New Roman" w:hAnsi="Times New Roman" w:cs="Times New Roman"/>
      <w:b/>
      <w:i w:val="false"/>
      <w:spacing w:val="0"/>
      <w:w w:val="100"/>
      <w:kern w:val="2"/>
      <w:position w:val="0"/>
      <w:sz w:val="24"/>
      <w:szCs w:val="24"/>
      <w:vertAlign w:val="baseline"/>
    </w:rPr>
  </w:style>
  <w:style w:type="character" w:styleId="WW8Num38z1">
    <w:name w:val="WW8Num38z1"/>
    <w:rPr/>
  </w:style>
  <w:style w:type="character" w:styleId="WW8Num39z0">
    <w:name w:val="WW8Num39z0"/>
    <w:rPr>
      <w:b/>
      <w:i w:val="false"/>
      <w:sz w:val="18"/>
      <w:szCs w:val="18"/>
      <w:lang w:val="ro-RO"/>
    </w:rPr>
  </w:style>
  <w:style w:type="character" w:styleId="WW8Num40z0">
    <w:name w:val="WW8Num40z0"/>
    <w:rPr>
      <w:rFonts w:ascii="Times New Roman" w:hAnsi="Times New Roman" w:cs="Times New Roman"/>
      <w:b/>
      <w:sz w:val="24"/>
    </w:rPr>
  </w:style>
  <w:style w:type="character" w:styleId="WW8Num41z0">
    <w:name w:val="WW8Num41z0"/>
    <w:rPr>
      <w:b/>
    </w:rPr>
  </w:style>
  <w:style w:type="character" w:styleId="WW8Num42z0">
    <w:name w:val="WW8Num42z0"/>
    <w:rPr>
      <w:b/>
      <w:sz w:val="18"/>
      <w:szCs w:val="18"/>
    </w:rPr>
  </w:style>
  <w:style w:type="character" w:styleId="WW8Num43z0">
    <w:name w:val="WW8Num43z0"/>
    <w:rPr>
      <w:rFonts w:ascii="Wingdings" w:hAnsi="Wingdings" w:cs="Wingdings"/>
    </w:rPr>
  </w:style>
  <w:style w:type="character" w:styleId="WW8Num43z1">
    <w:name w:val="WW8Num43z1"/>
    <w:rPr>
      <w:rFonts w:ascii="Symbol" w:hAnsi="Symbol" w:cs="Symbol"/>
    </w:rPr>
  </w:style>
  <w:style w:type="character" w:styleId="WW8Num43z2">
    <w:name w:val="WW8Num43z2"/>
    <w:rPr>
      <w:rFonts w:ascii="Times New Roman" w:hAnsi="Times New Roman" w:cs="Times New Roman"/>
      <w:b/>
      <w:i w:val="false"/>
      <w:sz w:val="22"/>
      <w:szCs w:val="22"/>
    </w:rPr>
  </w:style>
  <w:style w:type="character" w:styleId="WW8Num43z3">
    <w:name w:val="WW8Num43z3"/>
    <w:rPr>
      <w:rFonts w:ascii="Symbol" w:hAnsi="Symbol" w:cs="Symbol"/>
    </w:rPr>
  </w:style>
  <w:style w:type="character" w:styleId="WW8Num43z4">
    <w:name w:val="WW8Num43z4"/>
    <w:rPr>
      <w:rFonts w:ascii="Courier New" w:hAnsi="Courier New" w:cs="Courier New"/>
    </w:rPr>
  </w:style>
  <w:style w:type="character" w:styleId="WW8Num43z5">
    <w:name w:val="WW8Num43z5"/>
    <w:rPr>
      <w:rFonts w:ascii="Wingdings" w:hAnsi="Wingdings" w:cs="Wingdings"/>
    </w:rPr>
  </w:style>
  <w:style w:type="character" w:styleId="WW8Num44z0">
    <w:name w:val="WW8Num44z0"/>
    <w:rPr>
      <w:rFonts w:ascii="Arial" w:hAnsi="Arial" w:cs="Arial"/>
      <w:b/>
      <w:i w:val="false"/>
      <w:sz w:val="18"/>
      <w:szCs w:val="18"/>
      <w:lang w:val="it-IT"/>
    </w:rPr>
  </w:style>
  <w:style w:type="character" w:styleId="WW8Num45z0">
    <w:name w:val="WW8Num45z0"/>
    <w:rPr>
      <w:rFonts w:ascii="Arial" w:hAnsi="Arial" w:eastAsia="Times New Roman" w:cs="Arial"/>
      <w:b/>
    </w:rPr>
  </w:style>
  <w:style w:type="character" w:styleId="WW8Num45z1">
    <w:name w:val="WW8Num45z1"/>
    <w:rPr>
      <w:rFonts w:ascii="Courier New" w:hAnsi="Courier New" w:cs="Courier New"/>
    </w:rPr>
  </w:style>
  <w:style w:type="character" w:styleId="WW8Num45z2">
    <w:name w:val="WW8Num45z2"/>
    <w:rPr>
      <w:rFonts w:ascii="Wingdings" w:hAnsi="Wingdings" w:cs="Wingdings"/>
    </w:rPr>
  </w:style>
  <w:style w:type="character" w:styleId="WW8Num45z3">
    <w:name w:val="WW8Num45z3"/>
    <w:rPr>
      <w:rFonts w:ascii="Symbol" w:hAnsi="Symbol" w:cs="Symbol"/>
    </w:rPr>
  </w:style>
  <w:style w:type="character" w:styleId="WW8Num46z0">
    <w:name w:val="WW8Num46z0"/>
    <w:rPr>
      <w:b/>
      <w:lang w:val="ro-RO"/>
    </w:rPr>
  </w:style>
  <w:style w:type="character" w:styleId="WW8Num46z1">
    <w:name w:val="WW8Num46z1"/>
    <w:rPr>
      <w:b/>
      <w:i w:val="false"/>
      <w:sz w:val="22"/>
      <w:szCs w:val="22"/>
    </w:rPr>
  </w:style>
  <w:style w:type="character" w:styleId="WW8Num46z2">
    <w:name w:val="WW8Num46z2"/>
    <w:rPr>
      <w:b/>
    </w:rPr>
  </w:style>
  <w:style w:type="character" w:styleId="WW8Num46z3">
    <w:name w:val="WW8Num46z3"/>
    <w:rPr>
      <w:rFonts w:ascii="Times New Roman" w:hAnsi="Times New Roman" w:eastAsia="Times New Roman" w:cs="Times New Roman"/>
    </w:rPr>
  </w:style>
  <w:style w:type="character" w:styleId="WW8Num46z4">
    <w:name w:val="WW8Num46z4"/>
    <w:rPr/>
  </w:style>
  <w:style w:type="character" w:styleId="WW8Num46z5">
    <w:name w:val="WW8Num46z5"/>
    <w:rPr>
      <w:rFonts w:ascii="Wingdings" w:hAnsi="Wingdings" w:cs="Wingdings"/>
    </w:rPr>
  </w:style>
  <w:style w:type="character" w:styleId="WW8Num46z6">
    <w:name w:val="WW8Num46z6"/>
    <w:rPr>
      <w:rFonts w:ascii="Symbol" w:hAnsi="Symbol" w:cs="Symbol"/>
    </w:rPr>
  </w:style>
  <w:style w:type="character" w:styleId="WW8Num46z7">
    <w:name w:val="WW8Num46z7"/>
    <w:rPr>
      <w:rFonts w:ascii="Courier New" w:hAnsi="Courier New" w:cs="Courier New"/>
    </w:rPr>
  </w:style>
  <w:style w:type="character" w:styleId="WW8Num47z0">
    <w:name w:val="WW8Num47z0"/>
    <w:rPr>
      <w:rFonts w:ascii="Times New Roman" w:hAnsi="Times New Roman" w:cs="Times New Roman"/>
      <w:b/>
      <w:sz w:val="24"/>
      <w:szCs w:val="24"/>
    </w:rPr>
  </w:style>
  <w:style w:type="character" w:styleId="WW8Num47z1">
    <w:name w:val="WW8Num47z1"/>
    <w:rPr/>
  </w:style>
  <w:style w:type="character" w:styleId="WW8Num48z0">
    <w:name w:val="WW8Num48z0"/>
    <w:rPr>
      <w:rFonts w:ascii="Arial" w:hAnsi="Arial" w:cs="Arial"/>
      <w:b/>
      <w:sz w:val="18"/>
      <w:szCs w:val="18"/>
    </w:rPr>
  </w:style>
  <w:style w:type="character" w:styleId="WW8Num49z0">
    <w:name w:val="WW8Num49z0"/>
    <w:rPr>
      <w:b/>
    </w:rPr>
  </w:style>
  <w:style w:type="character" w:styleId="WW8Num50z0">
    <w:name w:val="WW8Num50z0"/>
    <w:rPr/>
  </w:style>
  <w:style w:type="character" w:styleId="WW8Num51z0">
    <w:name w:val="WW8Num51z0"/>
    <w:rPr>
      <w:b/>
    </w:rPr>
  </w:style>
  <w:style w:type="character" w:styleId="WW8Num52z0">
    <w:name w:val="WW8Num52z0"/>
    <w:rPr>
      <w:rFonts w:ascii="Times New Roman" w:hAnsi="Times New Roman" w:cs="Times New Roman"/>
      <w:sz w:val="24"/>
    </w:rPr>
  </w:style>
  <w:style w:type="character" w:styleId="WW8Num53z0">
    <w:name w:val="WW8Num53z0"/>
    <w:rPr>
      <w:rFonts w:ascii="Arial" w:hAnsi="Arial" w:eastAsia="Times New Roman" w:cs="Arial"/>
      <w:b/>
    </w:rPr>
  </w:style>
  <w:style w:type="character" w:styleId="WW8Num53z1">
    <w:name w:val="WW8Num53z1"/>
    <w:rPr>
      <w:rFonts w:ascii="Courier New" w:hAnsi="Courier New" w:cs="Courier New"/>
    </w:rPr>
  </w:style>
  <w:style w:type="character" w:styleId="WW8Num53z2">
    <w:name w:val="WW8Num53z2"/>
    <w:rPr>
      <w:rFonts w:ascii="Wingdings" w:hAnsi="Wingdings" w:cs="Wingdings"/>
    </w:rPr>
  </w:style>
  <w:style w:type="character" w:styleId="WW8Num53z3">
    <w:name w:val="WW8Num53z3"/>
    <w:rPr>
      <w:rFonts w:ascii="Symbol" w:hAnsi="Symbol" w:cs="Symbol"/>
    </w:rPr>
  </w:style>
  <w:style w:type="character" w:styleId="WW8Num54z0">
    <w:name w:val="WW8Num54z0"/>
    <w:rPr>
      <w:rFonts w:ascii="Arial" w:hAnsi="Arial" w:cs="Arial"/>
      <w:b/>
      <w:i w:val="false"/>
      <w:sz w:val="18"/>
      <w:szCs w:val="18"/>
      <w:lang w:val="it-IT"/>
    </w:rPr>
  </w:style>
  <w:style w:type="character" w:styleId="WW8Num55z0">
    <w:name w:val="WW8Num55z0"/>
    <w:rPr>
      <w:rFonts w:ascii="Arial" w:hAnsi="Arial" w:eastAsia="Times New Roman" w:cs="Arial"/>
      <w:b/>
    </w:rPr>
  </w:style>
  <w:style w:type="character" w:styleId="WW8Num55z1">
    <w:name w:val="WW8Num55z1"/>
    <w:rPr>
      <w:rFonts w:ascii="Courier New" w:hAnsi="Courier New" w:cs="Courier New"/>
    </w:rPr>
  </w:style>
  <w:style w:type="character" w:styleId="WW8Num55z2">
    <w:name w:val="WW8Num55z2"/>
    <w:rPr>
      <w:rFonts w:ascii="Wingdings" w:hAnsi="Wingdings" w:cs="Wingdings"/>
    </w:rPr>
  </w:style>
  <w:style w:type="character" w:styleId="WW8Num55z3">
    <w:name w:val="WW8Num55z3"/>
    <w:rPr>
      <w:rFonts w:ascii="Symbol" w:hAnsi="Symbol" w:cs="Symbol"/>
    </w:rPr>
  </w:style>
  <w:style w:type="character" w:styleId="WW8Num56z0">
    <w:name w:val="WW8Num56z0"/>
    <w:rPr>
      <w:rFonts w:ascii="Arial" w:hAnsi="Arial" w:eastAsia="Times New Roman" w:cs="Arial"/>
      <w:b/>
    </w:rPr>
  </w:style>
  <w:style w:type="character" w:styleId="WW8Num56z1">
    <w:name w:val="WW8Num56z1"/>
    <w:rPr>
      <w:rFonts w:ascii="Courier New" w:hAnsi="Courier New" w:cs="Courier New"/>
    </w:rPr>
  </w:style>
  <w:style w:type="character" w:styleId="WW8Num56z2">
    <w:name w:val="WW8Num56z2"/>
    <w:rPr>
      <w:rFonts w:ascii="Wingdings" w:hAnsi="Wingdings" w:cs="Wingdings"/>
    </w:rPr>
  </w:style>
  <w:style w:type="character" w:styleId="WW8Num56z3">
    <w:name w:val="WW8Num56z3"/>
    <w:rPr>
      <w:rFonts w:ascii="Symbol" w:hAnsi="Symbol" w:cs="Symbol"/>
    </w:rPr>
  </w:style>
  <w:style w:type="character" w:styleId="WW8Num57z0">
    <w:name w:val="WW8Num57z0"/>
    <w:rPr>
      <w:b/>
    </w:rPr>
  </w:style>
  <w:style w:type="character" w:styleId="WW8Num58z0">
    <w:name w:val="WW8Num58z0"/>
    <w:rPr>
      <w:sz w:val="16"/>
      <w:szCs w:val="16"/>
    </w:rPr>
  </w:style>
  <w:style w:type="character" w:styleId="DefaultParagraphFont">
    <w:name w:val="Default Paragraph Font"/>
    <w:rPr/>
  </w:style>
  <w:style w:type="character" w:styleId="PageNumber">
    <w:name w:val="page number"/>
    <w:basedOn w:val="DefaultParagraphFont"/>
    <w:rPr/>
  </w:style>
  <w:style w:type="character" w:styleId="tpa1">
    <w:name w:val="tpa1"/>
    <w:basedOn w:val="DefaultParagraphFont"/>
    <w:rPr/>
  </w:style>
  <w:style w:type="character" w:styleId="tal1">
    <w:name w:val="tal1"/>
    <w:basedOn w:val="DefaultParagraphFont"/>
    <w:rPr/>
  </w:style>
  <w:style w:type="character" w:styleId="tpt1">
    <w:name w:val="tpt1"/>
    <w:basedOn w:val="DefaultParagraphFont"/>
    <w:rPr/>
  </w:style>
  <w:style w:type="character" w:styleId="tli1">
    <w:name w:val="tli1"/>
    <w:basedOn w:val="DefaultParagraphFont"/>
    <w:rPr/>
  </w:style>
  <w:style w:type="character" w:styleId="text-albastru-recomanda-unui-prieten">
    <w:name w:val="text-albastru-recomanda-unui-prieten"/>
    <w:basedOn w:val="DefaultParagraphFont"/>
    <w:rPr/>
  </w:style>
  <w:style w:type="character" w:styleId="li1">
    <w:name w:val="li1"/>
    <w:rPr>
      <w:b/>
      <w:bCs/>
    </w:rPr>
  </w:style>
  <w:style w:type="character" w:styleId="al1">
    <w:name w:val="al1"/>
    <w:rPr>
      <w:b/>
      <w:bCs/>
    </w:rPr>
  </w:style>
  <w:style w:type="character" w:styleId="sp1">
    <w:name w:val="sp1"/>
    <w:rPr>
      <w:b/>
      <w:bCs/>
    </w:rPr>
  </w:style>
  <w:style w:type="character" w:styleId="tsp1">
    <w:name w:val="tsp1"/>
    <w:basedOn w:val="DefaultParagraphFont"/>
    <w:rPr/>
  </w:style>
  <w:style w:type="character" w:styleId="pt1">
    <w:name w:val="pt1"/>
    <w:rPr>
      <w:b/>
      <w:bCs/>
    </w:rPr>
  </w:style>
  <w:style w:type="character" w:styleId="ar1">
    <w:name w:val="ar1"/>
    <w:rPr>
      <w:b/>
      <w:bCs/>
      <w:sz w:val="22"/>
      <w:szCs w:val="22"/>
    </w:rPr>
  </w:style>
  <w:style w:type="character" w:styleId="NormalWebChar">
    <w:name w:val="Normal (Web) Char"/>
    <w:rPr>
      <w:sz w:val="24"/>
      <w:szCs w:val="24"/>
      <w:lang w:bidi="ar-SA"/>
    </w:rPr>
  </w:style>
  <w:style w:type="character" w:styleId="Hyperlink">
    <w:name w:val="Hyperlink"/>
    <w:rPr>
      <w:u w:val="single"/>
    </w:rPr>
  </w:style>
  <w:style w:type="character" w:styleId="FollowedHyperlink">
    <w:name w:val="FollowedHyperlink"/>
    <w:rPr>
      <w:u w:val="single"/>
    </w:rPr>
  </w:style>
  <w:style w:type="character" w:styleId="emailstyle17">
    <w:name w:val="emailstyle17"/>
    <w:rPr>
      <w:rFonts w:ascii="Arial" w:hAnsi="Arial" w:cs="Arial"/>
    </w:rPr>
  </w:style>
  <w:style w:type="character" w:styleId="do1">
    <w:name w:val="do1"/>
    <w:rPr>
      <w:b/>
      <w:bCs/>
    </w:rPr>
  </w:style>
  <w:style w:type="character" w:styleId="tdo1">
    <w:name w:val="tdo1"/>
    <w:rPr>
      <w:b/>
      <w:bCs/>
    </w:rPr>
  </w:style>
  <w:style w:type="character" w:styleId="ca1">
    <w:name w:val="ca1"/>
    <w:rPr>
      <w:b/>
      <w:bCs/>
    </w:rPr>
  </w:style>
  <w:style w:type="character" w:styleId="tca1">
    <w:name w:val="tca1"/>
    <w:rPr>
      <w:b/>
      <w:bCs/>
    </w:rPr>
  </w:style>
  <w:style w:type="character" w:styleId="tar1">
    <w:name w:val="tar1"/>
    <w:rPr>
      <w:b/>
      <w:bCs/>
    </w:rPr>
  </w:style>
  <w:style w:type="character" w:styleId="ax1">
    <w:name w:val="ax1"/>
    <w:rPr>
      <w:b/>
      <w:bCs/>
    </w:rPr>
  </w:style>
  <w:style w:type="character" w:styleId="tax1">
    <w:name w:val="tax1"/>
    <w:rPr>
      <w:b/>
      <w:bCs/>
    </w:rPr>
  </w:style>
  <w:style w:type="character" w:styleId="Strong">
    <w:name w:val="Strong"/>
    <w:rPr>
      <w:b/>
      <w:bCs/>
    </w:rPr>
  </w:style>
  <w:style w:type="character" w:styleId="Emphasis">
    <w:name w:val="Emphasis"/>
    <w:rPr>
      <w:i/>
      <w:iCs/>
    </w:rPr>
  </w:style>
  <w:style w:type="character" w:styleId="si1">
    <w:name w:val="si1"/>
    <w:rPr>
      <w:b/>
      <w:bCs/>
      <w:sz w:val="24"/>
      <w:szCs w:val="24"/>
    </w:rPr>
  </w:style>
  <w:style w:type="character" w:styleId="tsi1">
    <w:name w:val="tsi1"/>
    <w:rPr>
      <w:b/>
      <w:bCs/>
      <w:sz w:val="24"/>
      <w:szCs w:val="24"/>
    </w:rPr>
  </w:style>
  <w:style w:type="character" w:styleId="CharChar">
    <w:name w:val=" Char Char"/>
    <w:rPr>
      <w:rFonts w:ascii="Arial Unicode MS" w:hAnsi="Arial Unicode MS" w:eastAsia="Arial Unicode MS" w:cs="Arial Unicode MS"/>
      <w:sz w:val="24"/>
      <w:szCs w:val="24"/>
      <w:lang w:val="en-GB" w:bidi="ar-SA"/>
    </w:rPr>
  </w:style>
  <w:style w:type="character" w:styleId="FontStyle13">
    <w:name w:val="Font Style13"/>
    <w:rPr>
      <w:rFonts w:ascii="Arial" w:hAnsi="Arial" w:cs="Arial"/>
      <w:b/>
      <w:bCs/>
      <w:i/>
      <w:iCs/>
      <w:sz w:val="16"/>
      <w:szCs w:val="16"/>
    </w:rPr>
  </w:style>
  <w:style w:type="character" w:styleId="FontStyle50">
    <w:name w:val="Font Style50"/>
    <w:rPr>
      <w:rFonts w:ascii="Arial" w:hAnsi="Arial" w:cs="Arial"/>
      <w:sz w:val="16"/>
      <w:szCs w:val="16"/>
    </w:rPr>
  </w:style>
  <w:style w:type="character" w:styleId="FontStyle53">
    <w:name w:val="Font Style53"/>
    <w:rPr>
      <w:rFonts w:ascii="Arial" w:hAnsi="Arial" w:cs="Arial"/>
      <w:b/>
      <w:bCs/>
      <w:sz w:val="16"/>
      <w:szCs w:val="16"/>
    </w:rPr>
  </w:style>
  <w:style w:type="character" w:styleId="FontStyle54">
    <w:name w:val="Font Style54"/>
    <w:rPr>
      <w:rFonts w:ascii="Arial" w:hAnsi="Arial" w:cs="Arial"/>
      <w:b/>
      <w:bCs/>
      <w:sz w:val="16"/>
      <w:szCs w:val="16"/>
    </w:rPr>
  </w:style>
  <w:style w:type="character" w:styleId="FontStyle20">
    <w:name w:val="Font Style20"/>
    <w:rPr>
      <w:rFonts w:ascii="Arial" w:hAnsi="Arial" w:cs="Arial"/>
      <w:b/>
      <w:bCs/>
      <w:sz w:val="16"/>
      <w:szCs w:val="16"/>
    </w:rPr>
  </w:style>
  <w:style w:type="character" w:styleId="FontStyle22">
    <w:name w:val="Font Style22"/>
    <w:rPr>
      <w:rFonts w:ascii="Arial" w:hAnsi="Arial" w:cs="Arial"/>
      <w:sz w:val="16"/>
      <w:szCs w:val="16"/>
    </w:rPr>
  </w:style>
  <w:style w:type="character" w:styleId="FontStyle24">
    <w:name w:val="Font Style24"/>
    <w:rPr>
      <w:rFonts w:ascii="Arial" w:hAnsi="Arial" w:cs="Arial"/>
      <w:b/>
      <w:bCs/>
      <w:sz w:val="16"/>
      <w:szCs w:val="16"/>
    </w:rPr>
  </w:style>
  <w:style w:type="character" w:styleId="FontStyle26">
    <w:name w:val="Font Style26"/>
    <w:rPr>
      <w:rFonts w:ascii="Arial" w:hAnsi="Arial" w:cs="Arial"/>
      <w:b/>
      <w:bCs/>
      <w:spacing w:val="-20"/>
      <w:sz w:val="22"/>
      <w:szCs w:val="22"/>
    </w:rPr>
  </w:style>
  <w:style w:type="character" w:styleId="FontStyle15">
    <w:name w:val="Font Style15"/>
    <w:rPr>
      <w:rFonts w:ascii="Arial" w:hAnsi="Arial" w:cs="Arial"/>
      <w:sz w:val="16"/>
      <w:szCs w:val="16"/>
    </w:rPr>
  </w:style>
  <w:style w:type="character" w:styleId="FontStyle16">
    <w:name w:val="Font Style16"/>
    <w:rPr>
      <w:rFonts w:ascii="Arial" w:hAnsi="Arial" w:cs="Arial"/>
      <w:b/>
      <w:bCs/>
      <w:sz w:val="16"/>
      <w:szCs w:val="16"/>
    </w:rPr>
  </w:style>
  <w:style w:type="character" w:styleId="FontStyle17">
    <w:name w:val="Font Style17"/>
    <w:rPr>
      <w:rFonts w:ascii="Arial" w:hAnsi="Arial" w:cs="Arial"/>
      <w:b/>
      <w:bCs/>
      <w:sz w:val="16"/>
      <w:szCs w:val="16"/>
    </w:rPr>
  </w:style>
  <w:style w:type="character" w:styleId="FontStyle14">
    <w:name w:val="Font Style14"/>
    <w:rPr>
      <w:rFonts w:ascii="Times New Roman" w:hAnsi="Times New Roman" w:cs="Times New Roman"/>
      <w:sz w:val="20"/>
      <w:szCs w:val="20"/>
    </w:rPr>
  </w:style>
  <w:style w:type="character" w:styleId="FontStyle12">
    <w:name w:val="Font Style12"/>
    <w:rPr>
      <w:rFonts w:ascii="Century Gothic" w:hAnsi="Century Gothic" w:cs="Century Gothic"/>
      <w:sz w:val="24"/>
      <w:szCs w:val="24"/>
    </w:rPr>
  </w:style>
  <w:style w:type="character" w:styleId="Heading1Char">
    <w:name w:val="Heading 1 Char"/>
    <w:rPr>
      <w:rFonts w:ascii="Arial" w:hAnsi="Arial" w:cs="Arial"/>
      <w:b/>
      <w:bCs/>
      <w:kern w:val="2"/>
      <w:sz w:val="32"/>
      <w:szCs w:val="32"/>
    </w:rPr>
  </w:style>
  <w:style w:type="character" w:styleId="spar">
    <w:name w:val="s_par"/>
    <w:basedOn w:val="DefaultParagraphFont"/>
    <w:rPr/>
  </w:style>
  <w:style w:type="character" w:styleId="slitbdy">
    <w:name w:val="s_lit_bdy"/>
    <w:basedOn w:val="DefaultParagraphFont"/>
    <w:rPr/>
  </w:style>
  <w:style w:type="character" w:styleId="BalloonTextChar">
    <w:name w:val="Balloon Text Char"/>
    <w:rPr>
      <w:rFonts w:ascii="Segoe UI" w:hAnsi="Segoe UI" w:cs="Segoe UI"/>
      <w:sz w:val="18"/>
      <w:szCs w:val="18"/>
    </w:rPr>
  </w:style>
  <w:style w:type="character" w:styleId="UnresolvedMention">
    <w:name w:val="Unresolved Mention"/>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jc w:val="center"/>
    </w:pPr>
    <w:rPr>
      <w:rFonts w:ascii="Eurostyle;Arial Narrow" w:hAnsi="Eurostyle;Arial Narrow" w:cs="Eurostyle;Arial Narrow"/>
      <w:b/>
      <w:sz w:val="24"/>
    </w:rPr>
  </w:style>
  <w:style w:type="paragraph" w:styleId="BodyText">
    <w:name w:val="Body Text"/>
    <w:basedOn w:val="Normal"/>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20"/>
        <w:tab w:val="center" w:pos="4819" w:leader="none"/>
        <w:tab w:val="right" w:pos="9638" w:leader="none"/>
      </w:tabs>
    </w:pPr>
    <w:rPr/>
  </w:style>
  <w:style w:type="paragraph" w:styleId="Footer">
    <w:name w:val="footer"/>
    <w:basedOn w:val="Normal"/>
    <w:pPr>
      <w:tabs>
        <w:tab w:val="clear" w:pos="720"/>
        <w:tab w:val="center" w:pos="4320" w:leader="none"/>
        <w:tab w:val="right" w:pos="8640" w:leader="none"/>
      </w:tabs>
    </w:pPr>
    <w:rPr/>
  </w:style>
  <w:style w:type="paragraph" w:styleId="Header">
    <w:name w:val="header"/>
    <w:basedOn w:val="Normal"/>
    <w:pPr>
      <w:tabs>
        <w:tab w:val="clear" w:pos="720"/>
        <w:tab w:val="center" w:pos="4320" w:leader="none"/>
        <w:tab w:val="right" w:pos="8640" w:leader="none"/>
      </w:tabs>
    </w:pPr>
    <w:rPr/>
  </w:style>
  <w:style w:type="paragraph" w:styleId="BodyText3">
    <w:name w:val="Body Text 3"/>
    <w:basedOn w:val="Normal"/>
    <w:pPr>
      <w:spacing w:lineRule="atLeast" w:line="300" w:before="220" w:after="120"/>
      <w:jc w:val="both"/>
    </w:pPr>
    <w:rPr>
      <w:rFonts w:ascii="Arial" w:hAnsi="Arial" w:cs="Arial"/>
      <w:sz w:val="16"/>
      <w:szCs w:val="16"/>
      <w:lang w:val="de-DE"/>
    </w:rPr>
  </w:style>
  <w:style w:type="paragraph" w:styleId="BlockText">
    <w:name w:val="Block Text"/>
    <w:basedOn w:val="Normal"/>
    <w:pPr>
      <w:ind w:hanging="0" w:left="1260" w:right="-900"/>
    </w:pPr>
    <w:rPr>
      <w:b/>
      <w:bCs/>
      <w:lang w:val="ro-RO"/>
    </w:rPr>
  </w:style>
  <w:style w:type="paragraph" w:styleId="NormalWeb">
    <w:name w:val="Normal (Web)"/>
    <w:basedOn w:val="Normal"/>
    <w:pPr>
      <w:spacing w:before="280" w:after="280"/>
    </w:pPr>
    <w:rPr>
      <w:sz w:val="24"/>
      <w:szCs w:val="24"/>
    </w:rPr>
  </w:style>
  <w:style w:type="paragraph" w:styleId="BodyTextIndent">
    <w:name w:val="Body Text Indent"/>
    <w:basedOn w:val="Normal"/>
    <w:pPr>
      <w:tabs>
        <w:tab w:val="clear" w:pos="720"/>
        <w:tab w:val="left" w:pos="709" w:leader="none"/>
      </w:tabs>
      <w:spacing w:before="120" w:after="0"/>
      <w:ind w:hanging="709" w:left="709" w:right="0"/>
    </w:pPr>
    <w:rPr>
      <w:sz w:val="28"/>
    </w:rPr>
  </w:style>
  <w:style w:type="paragraph" w:styleId="BodyTextIndent2">
    <w:name w:val="Body Text Indent 2"/>
    <w:basedOn w:val="Normal"/>
    <w:pPr>
      <w:tabs>
        <w:tab w:val="clear" w:pos="720"/>
        <w:tab w:val="left" w:pos="1560" w:leader="none"/>
      </w:tabs>
      <w:ind w:hanging="709" w:left="993" w:right="0"/>
    </w:pPr>
    <w:rPr>
      <w:sz w:val="28"/>
    </w:rPr>
  </w:style>
  <w:style w:type="paragraph" w:styleId="BodyTextIndent3">
    <w:name w:val="Body Text Indent 3"/>
    <w:basedOn w:val="Normal"/>
    <w:pPr>
      <w:tabs>
        <w:tab w:val="clear" w:pos="720"/>
        <w:tab w:val="left" w:pos="1134" w:leader="none"/>
      </w:tabs>
      <w:ind w:hanging="851" w:left="851" w:right="0"/>
    </w:pPr>
    <w:rPr>
      <w:sz w:val="28"/>
    </w:rPr>
  </w:style>
  <w:style w:type="paragraph" w:styleId="Subtitle">
    <w:name w:val="Subtitle"/>
    <w:basedOn w:val="Normal"/>
    <w:next w:val="BodyText"/>
    <w:pPr>
      <w:jc w:val="center"/>
      <w:outlineLvl w:val="0"/>
    </w:pPr>
    <w:rPr>
      <w:rFonts w:ascii="Eurostyle;Arial Narrow" w:hAnsi="Eurostyle;Arial Narrow" w:cs="Eurostyle;Arial Narrow"/>
      <w:b/>
      <w:sz w:val="32"/>
    </w:rPr>
  </w:style>
  <w:style w:type="paragraph" w:styleId="BodyText2">
    <w:name w:val="Body Text 2"/>
    <w:basedOn w:val="Normal"/>
    <w:pPr>
      <w:jc w:val="both"/>
    </w:pPr>
    <w:rPr>
      <w:sz w:val="28"/>
    </w:rPr>
  </w:style>
  <w:style w:type="paragraph" w:styleId="NormalWeb2">
    <w:name w:val="Normal (Web)2"/>
    <w:basedOn w:val="Normal"/>
    <w:pPr>
      <w:spacing w:before="140" w:after="140"/>
      <w:ind w:hanging="0" w:left="140" w:right="140"/>
    </w:pPr>
    <w:rPr>
      <w:sz w:val="24"/>
      <w:szCs w:val="24"/>
      <w:lang w:val="ro-RO"/>
    </w:rPr>
  </w:style>
  <w:style w:type="paragraph" w:styleId="icon">
    <w:name w:val="icon"/>
    <w:basedOn w:val="Normal"/>
    <w:pPr>
      <w:spacing w:before="280" w:after="280"/>
    </w:pPr>
    <w:rPr>
      <w:vanish/>
      <w:color w:val="000000"/>
      <w:sz w:val="24"/>
      <w:szCs w:val="24"/>
    </w:rPr>
  </w:style>
  <w:style w:type="paragraph" w:styleId="child">
    <w:name w:val="child"/>
    <w:basedOn w:val="Normal"/>
    <w:pPr>
      <w:spacing w:before="280" w:after="280"/>
      <w:jc w:val="both"/>
    </w:pPr>
    <w:rPr>
      <w:color w:val="000000"/>
      <w:sz w:val="24"/>
      <w:szCs w:val="24"/>
    </w:rPr>
  </w:style>
  <w:style w:type="paragraph" w:styleId="item">
    <w:name w:val="item"/>
    <w:basedOn w:val="Normal"/>
    <w:pPr>
      <w:spacing w:before="280" w:after="280"/>
    </w:pPr>
    <w:rPr>
      <w:color w:val="000000"/>
      <w:sz w:val="24"/>
      <w:szCs w:val="24"/>
    </w:rPr>
  </w:style>
  <w:style w:type="paragraph" w:styleId="parent">
    <w:name w:val="parent"/>
    <w:basedOn w:val="Normal"/>
    <w:pPr>
      <w:spacing w:before="280" w:after="280"/>
    </w:pPr>
    <w:rPr>
      <w:color w:val="000000"/>
      <w:sz w:val="24"/>
      <w:szCs w:val="24"/>
    </w:rPr>
  </w:style>
  <w:style w:type="paragraph" w:styleId="highlight">
    <w:name w:val="highlight"/>
    <w:basedOn w:val="Normal"/>
    <w:pPr>
      <w:shd w:val="clear" w:fill="CCCCCC"/>
      <w:spacing w:before="280" w:after="280"/>
    </w:pPr>
    <w:rPr>
      <w:color w:val="000000"/>
      <w:sz w:val="24"/>
      <w:szCs w:val="24"/>
    </w:rPr>
  </w:style>
  <w:style w:type="paragraph" w:styleId="lego">
    <w:name w:val="lego"/>
    <w:basedOn w:val="Normal"/>
    <w:pPr>
      <w:spacing w:before="280" w:after="280"/>
    </w:pPr>
    <w:rPr>
      <w:i/>
      <w:iCs/>
      <w:color w:val="6666FF"/>
      <w:sz w:val="18"/>
      <w:szCs w:val="18"/>
    </w:rPr>
  </w:style>
  <w:style w:type="paragraph" w:styleId="do">
    <w:name w:val="do"/>
    <w:basedOn w:val="Normal"/>
    <w:pPr>
      <w:spacing w:before="280" w:after="280"/>
      <w:jc w:val="center"/>
    </w:pPr>
    <w:rPr>
      <w:b/>
      <w:bCs/>
      <w:color w:val="000000"/>
      <w:sz w:val="26"/>
      <w:szCs w:val="26"/>
    </w:rPr>
  </w:style>
  <w:style w:type="paragraph" w:styleId="tdo">
    <w:name w:val="tdo"/>
    <w:basedOn w:val="Normal"/>
    <w:pPr>
      <w:spacing w:before="280" w:after="280"/>
      <w:jc w:val="center"/>
    </w:pPr>
    <w:rPr>
      <w:b/>
      <w:bCs/>
      <w:color w:val="000000"/>
      <w:sz w:val="26"/>
      <w:szCs w:val="26"/>
    </w:rPr>
  </w:style>
  <w:style w:type="paragraph" w:styleId="doa">
    <w:name w:val="doa"/>
    <w:basedOn w:val="Normal"/>
    <w:pPr>
      <w:spacing w:before="280" w:after="280"/>
      <w:jc w:val="center"/>
    </w:pPr>
    <w:rPr>
      <w:b/>
      <w:bCs/>
      <w:strike/>
      <w:color w:val="DC143C"/>
      <w:sz w:val="26"/>
      <w:szCs w:val="26"/>
    </w:rPr>
  </w:style>
  <w:style w:type="paragraph" w:styleId="tdoa">
    <w:name w:val="tdoa"/>
    <w:basedOn w:val="Normal"/>
    <w:pPr>
      <w:spacing w:before="280" w:after="280"/>
      <w:jc w:val="center"/>
    </w:pPr>
    <w:rPr>
      <w:b/>
      <w:bCs/>
      <w:strike/>
      <w:color w:val="DC143C"/>
      <w:sz w:val="26"/>
      <w:szCs w:val="26"/>
    </w:rPr>
  </w:style>
  <w:style w:type="paragraph" w:styleId="so">
    <w:name w:val="so"/>
    <w:basedOn w:val="Normal"/>
    <w:pPr>
      <w:spacing w:before="280" w:after="280"/>
    </w:pPr>
    <w:rPr>
      <w:b/>
      <w:bCs/>
      <w:color w:val="000000"/>
      <w:sz w:val="24"/>
      <w:szCs w:val="24"/>
    </w:rPr>
  </w:style>
  <w:style w:type="paragraph" w:styleId="tso">
    <w:name w:val="tso"/>
    <w:basedOn w:val="Normal"/>
    <w:pPr>
      <w:spacing w:before="280" w:after="280"/>
    </w:pPr>
    <w:rPr>
      <w:b/>
      <w:bCs/>
      <w:color w:val="000000"/>
      <w:sz w:val="24"/>
      <w:szCs w:val="24"/>
    </w:rPr>
  </w:style>
  <w:style w:type="paragraph" w:styleId="soa">
    <w:name w:val="soa"/>
    <w:basedOn w:val="Normal"/>
    <w:pPr>
      <w:spacing w:before="280" w:after="280"/>
    </w:pPr>
    <w:rPr>
      <w:b/>
      <w:bCs/>
      <w:strike/>
      <w:color w:val="DC143C"/>
      <w:sz w:val="24"/>
      <w:szCs w:val="24"/>
    </w:rPr>
  </w:style>
  <w:style w:type="paragraph" w:styleId="tsoa">
    <w:name w:val="tsoa"/>
    <w:basedOn w:val="Normal"/>
    <w:pPr>
      <w:spacing w:before="280" w:after="280"/>
    </w:pPr>
    <w:rPr>
      <w:b/>
      <w:bCs/>
      <w:strike/>
      <w:color w:val="DC143C"/>
      <w:sz w:val="24"/>
      <w:szCs w:val="24"/>
    </w:rPr>
  </w:style>
  <w:style w:type="paragraph" w:styleId="tt">
    <w:name w:val="tt"/>
    <w:basedOn w:val="Normal"/>
    <w:pPr>
      <w:spacing w:before="280" w:after="280"/>
    </w:pPr>
    <w:rPr>
      <w:b/>
      <w:bCs/>
      <w:color w:val="000000"/>
      <w:sz w:val="26"/>
      <w:szCs w:val="26"/>
    </w:rPr>
  </w:style>
  <w:style w:type="paragraph" w:styleId="ttt">
    <w:name w:val="ttt"/>
    <w:basedOn w:val="Normal"/>
    <w:pPr>
      <w:spacing w:before="280" w:after="280"/>
    </w:pPr>
    <w:rPr>
      <w:b/>
      <w:bCs/>
      <w:color w:val="000000"/>
      <w:sz w:val="26"/>
      <w:szCs w:val="26"/>
    </w:rPr>
  </w:style>
  <w:style w:type="paragraph" w:styleId="tta">
    <w:name w:val="tta"/>
    <w:basedOn w:val="Normal"/>
    <w:pPr>
      <w:spacing w:before="280" w:after="280"/>
    </w:pPr>
    <w:rPr>
      <w:b/>
      <w:bCs/>
      <w:strike/>
      <w:color w:val="DC143C"/>
      <w:sz w:val="26"/>
      <w:szCs w:val="26"/>
    </w:rPr>
  </w:style>
  <w:style w:type="paragraph" w:styleId="ttta">
    <w:name w:val="ttta"/>
    <w:basedOn w:val="Normal"/>
    <w:pPr>
      <w:spacing w:before="280" w:after="280"/>
    </w:pPr>
    <w:rPr>
      <w:b/>
      <w:bCs/>
      <w:strike/>
      <w:color w:val="DC143C"/>
      <w:sz w:val="26"/>
      <w:szCs w:val="26"/>
    </w:rPr>
  </w:style>
  <w:style w:type="paragraph" w:styleId="st">
    <w:name w:val="st"/>
    <w:basedOn w:val="Normal"/>
    <w:pPr>
      <w:spacing w:before="280" w:after="280"/>
    </w:pPr>
    <w:rPr>
      <w:b/>
      <w:bCs/>
      <w:color w:val="000000"/>
      <w:sz w:val="24"/>
      <w:szCs w:val="24"/>
    </w:rPr>
  </w:style>
  <w:style w:type="paragraph" w:styleId="tst">
    <w:name w:val="tst"/>
    <w:basedOn w:val="Normal"/>
    <w:pPr>
      <w:spacing w:before="280" w:after="280"/>
    </w:pPr>
    <w:rPr>
      <w:b/>
      <w:bCs/>
      <w:color w:val="000000"/>
      <w:sz w:val="24"/>
      <w:szCs w:val="24"/>
    </w:rPr>
  </w:style>
  <w:style w:type="paragraph" w:styleId="sta">
    <w:name w:val="sta"/>
    <w:basedOn w:val="Normal"/>
    <w:pPr>
      <w:spacing w:before="280" w:after="280"/>
    </w:pPr>
    <w:rPr>
      <w:b/>
      <w:bCs/>
      <w:strike/>
      <w:color w:val="DC143C"/>
      <w:sz w:val="24"/>
      <w:szCs w:val="24"/>
    </w:rPr>
  </w:style>
  <w:style w:type="paragraph" w:styleId="tsta">
    <w:name w:val="tsta"/>
    <w:basedOn w:val="Normal"/>
    <w:pPr>
      <w:spacing w:before="280" w:after="280"/>
    </w:pPr>
    <w:rPr>
      <w:b/>
      <w:bCs/>
      <w:strike/>
      <w:color w:val="DC143C"/>
      <w:sz w:val="24"/>
      <w:szCs w:val="24"/>
    </w:rPr>
  </w:style>
  <w:style w:type="paragraph" w:styleId="ax">
    <w:name w:val="ax"/>
    <w:basedOn w:val="Normal"/>
    <w:pPr>
      <w:spacing w:before="280" w:after="280"/>
    </w:pPr>
    <w:rPr>
      <w:b/>
      <w:bCs/>
      <w:color w:val="000000"/>
      <w:sz w:val="26"/>
      <w:szCs w:val="26"/>
    </w:rPr>
  </w:style>
  <w:style w:type="paragraph" w:styleId="tax">
    <w:name w:val="tax"/>
    <w:basedOn w:val="Normal"/>
    <w:pPr>
      <w:spacing w:before="280" w:after="280"/>
    </w:pPr>
    <w:rPr>
      <w:b/>
      <w:bCs/>
      <w:color w:val="000000"/>
      <w:sz w:val="26"/>
      <w:szCs w:val="26"/>
    </w:rPr>
  </w:style>
  <w:style w:type="paragraph" w:styleId="axa">
    <w:name w:val="axa"/>
    <w:basedOn w:val="Normal"/>
    <w:pPr>
      <w:spacing w:before="280" w:after="280"/>
    </w:pPr>
    <w:rPr>
      <w:b/>
      <w:bCs/>
      <w:strike/>
      <w:color w:val="DC143C"/>
      <w:sz w:val="26"/>
      <w:szCs w:val="26"/>
    </w:rPr>
  </w:style>
  <w:style w:type="paragraph" w:styleId="taxa">
    <w:name w:val="taxa"/>
    <w:basedOn w:val="Normal"/>
    <w:pPr>
      <w:spacing w:before="280" w:after="280"/>
    </w:pPr>
    <w:rPr>
      <w:b/>
      <w:bCs/>
      <w:strike/>
      <w:color w:val="DC143C"/>
      <w:sz w:val="26"/>
      <w:szCs w:val="26"/>
    </w:rPr>
  </w:style>
  <w:style w:type="paragraph" w:styleId="pe">
    <w:name w:val="pe"/>
    <w:basedOn w:val="Normal"/>
    <w:pPr>
      <w:spacing w:before="280" w:after="280"/>
    </w:pPr>
    <w:rPr>
      <w:b/>
      <w:bCs/>
      <w:color w:val="000000"/>
      <w:sz w:val="26"/>
      <w:szCs w:val="26"/>
    </w:rPr>
  </w:style>
  <w:style w:type="paragraph" w:styleId="tpe">
    <w:name w:val="tpe"/>
    <w:basedOn w:val="Normal"/>
    <w:pPr>
      <w:spacing w:before="280" w:after="280"/>
    </w:pPr>
    <w:rPr>
      <w:b/>
      <w:bCs/>
      <w:color w:val="000000"/>
      <w:sz w:val="26"/>
      <w:szCs w:val="26"/>
    </w:rPr>
  </w:style>
  <w:style w:type="paragraph" w:styleId="pea">
    <w:name w:val="pea"/>
    <w:basedOn w:val="Normal"/>
    <w:pPr>
      <w:spacing w:before="280" w:after="280"/>
    </w:pPr>
    <w:rPr>
      <w:b/>
      <w:bCs/>
      <w:strike/>
      <w:color w:val="DC143C"/>
      <w:sz w:val="26"/>
      <w:szCs w:val="26"/>
    </w:rPr>
  </w:style>
  <w:style w:type="paragraph" w:styleId="tpea">
    <w:name w:val="tpea"/>
    <w:basedOn w:val="Normal"/>
    <w:pPr>
      <w:spacing w:before="280" w:after="280"/>
    </w:pPr>
    <w:rPr>
      <w:b/>
      <w:bCs/>
      <w:strike/>
      <w:color w:val="DC143C"/>
      <w:sz w:val="26"/>
      <w:szCs w:val="26"/>
    </w:rPr>
  </w:style>
  <w:style w:type="paragraph" w:styleId="se">
    <w:name w:val="se"/>
    <w:basedOn w:val="Normal"/>
    <w:pPr>
      <w:spacing w:before="280" w:after="280"/>
    </w:pPr>
    <w:rPr>
      <w:b/>
      <w:bCs/>
      <w:color w:val="000000"/>
      <w:sz w:val="24"/>
      <w:szCs w:val="24"/>
    </w:rPr>
  </w:style>
  <w:style w:type="paragraph" w:styleId="tse">
    <w:name w:val="tse"/>
    <w:basedOn w:val="Normal"/>
    <w:pPr>
      <w:spacing w:before="280" w:after="280"/>
    </w:pPr>
    <w:rPr>
      <w:b/>
      <w:bCs/>
      <w:color w:val="000000"/>
      <w:sz w:val="24"/>
      <w:szCs w:val="24"/>
    </w:rPr>
  </w:style>
  <w:style w:type="paragraph" w:styleId="sea">
    <w:name w:val="sea"/>
    <w:basedOn w:val="Normal"/>
    <w:pPr>
      <w:spacing w:before="280" w:after="280"/>
    </w:pPr>
    <w:rPr>
      <w:b/>
      <w:bCs/>
      <w:strike/>
      <w:color w:val="DC143C"/>
      <w:sz w:val="24"/>
      <w:szCs w:val="24"/>
    </w:rPr>
  </w:style>
  <w:style w:type="paragraph" w:styleId="tsea">
    <w:name w:val="tsea"/>
    <w:basedOn w:val="Normal"/>
    <w:pPr>
      <w:spacing w:before="280" w:after="280"/>
    </w:pPr>
    <w:rPr>
      <w:b/>
      <w:bCs/>
      <w:strike/>
      <w:color w:val="DC143C"/>
      <w:sz w:val="24"/>
      <w:szCs w:val="24"/>
    </w:rPr>
  </w:style>
  <w:style w:type="paragraph" w:styleId="ca">
    <w:name w:val="ca"/>
    <w:basedOn w:val="Normal"/>
    <w:pPr>
      <w:spacing w:before="280" w:after="280"/>
    </w:pPr>
    <w:rPr>
      <w:b/>
      <w:bCs/>
      <w:color w:val="005F00"/>
      <w:sz w:val="24"/>
      <w:szCs w:val="24"/>
    </w:rPr>
  </w:style>
  <w:style w:type="paragraph" w:styleId="tca">
    <w:name w:val="tca"/>
    <w:basedOn w:val="Normal"/>
    <w:pPr>
      <w:spacing w:before="280" w:after="280"/>
    </w:pPr>
    <w:rPr>
      <w:b/>
      <w:bCs/>
      <w:color w:val="000000"/>
      <w:sz w:val="24"/>
      <w:szCs w:val="24"/>
    </w:rPr>
  </w:style>
  <w:style w:type="paragraph" w:styleId="caa">
    <w:name w:val="caa"/>
    <w:basedOn w:val="Normal"/>
    <w:pPr>
      <w:spacing w:before="280" w:after="280"/>
    </w:pPr>
    <w:rPr>
      <w:b/>
      <w:bCs/>
      <w:strike/>
      <w:color w:val="DC143C"/>
      <w:sz w:val="24"/>
      <w:szCs w:val="24"/>
    </w:rPr>
  </w:style>
  <w:style w:type="paragraph" w:styleId="tcaa">
    <w:name w:val="tcaa"/>
    <w:basedOn w:val="Normal"/>
    <w:pPr>
      <w:spacing w:before="280" w:after="280"/>
    </w:pPr>
    <w:rPr>
      <w:b/>
      <w:bCs/>
      <w:strike/>
      <w:color w:val="DC143C"/>
      <w:sz w:val="24"/>
      <w:szCs w:val="24"/>
    </w:rPr>
  </w:style>
  <w:style w:type="paragraph" w:styleId="sc">
    <w:name w:val="sc"/>
    <w:basedOn w:val="Normal"/>
    <w:pPr>
      <w:spacing w:before="280" w:after="280"/>
    </w:pPr>
    <w:rPr>
      <w:b/>
      <w:bCs/>
      <w:color w:val="000000"/>
      <w:sz w:val="22"/>
      <w:szCs w:val="22"/>
    </w:rPr>
  </w:style>
  <w:style w:type="paragraph" w:styleId="tsc">
    <w:name w:val="tsc"/>
    <w:basedOn w:val="Normal"/>
    <w:pPr>
      <w:spacing w:before="280" w:after="280"/>
    </w:pPr>
    <w:rPr>
      <w:b/>
      <w:bCs/>
      <w:color w:val="000000"/>
      <w:sz w:val="22"/>
      <w:szCs w:val="22"/>
    </w:rPr>
  </w:style>
  <w:style w:type="paragraph" w:styleId="sca">
    <w:name w:val="sca"/>
    <w:basedOn w:val="Normal"/>
    <w:pPr>
      <w:spacing w:before="280" w:after="280"/>
    </w:pPr>
    <w:rPr>
      <w:b/>
      <w:bCs/>
      <w:strike/>
      <w:color w:val="DC143C"/>
      <w:sz w:val="22"/>
      <w:szCs w:val="22"/>
    </w:rPr>
  </w:style>
  <w:style w:type="paragraph" w:styleId="tsca">
    <w:name w:val="tsca"/>
    <w:basedOn w:val="Normal"/>
    <w:pPr>
      <w:spacing w:before="280" w:after="280"/>
    </w:pPr>
    <w:rPr>
      <w:b/>
      <w:bCs/>
      <w:strike/>
      <w:color w:val="DC143C"/>
      <w:sz w:val="22"/>
      <w:szCs w:val="22"/>
    </w:rPr>
  </w:style>
  <w:style w:type="paragraph" w:styleId="si">
    <w:name w:val="si"/>
    <w:basedOn w:val="Normal"/>
    <w:pPr>
      <w:spacing w:before="280" w:after="280"/>
    </w:pPr>
    <w:rPr>
      <w:b/>
      <w:bCs/>
      <w:color w:val="000000"/>
      <w:sz w:val="24"/>
      <w:szCs w:val="24"/>
    </w:rPr>
  </w:style>
  <w:style w:type="paragraph" w:styleId="tsi">
    <w:name w:val="tsi"/>
    <w:basedOn w:val="Normal"/>
    <w:pPr>
      <w:spacing w:before="280" w:after="280"/>
    </w:pPr>
    <w:rPr>
      <w:b/>
      <w:bCs/>
      <w:color w:val="000000"/>
      <w:sz w:val="24"/>
      <w:szCs w:val="24"/>
    </w:rPr>
  </w:style>
  <w:style w:type="paragraph" w:styleId="sia">
    <w:name w:val="sia"/>
    <w:basedOn w:val="Normal"/>
    <w:pPr>
      <w:spacing w:before="280" w:after="280"/>
    </w:pPr>
    <w:rPr>
      <w:b/>
      <w:bCs/>
      <w:strike/>
      <w:color w:val="DC143C"/>
      <w:sz w:val="24"/>
      <w:szCs w:val="24"/>
    </w:rPr>
  </w:style>
  <w:style w:type="paragraph" w:styleId="tsia">
    <w:name w:val="tsia"/>
    <w:basedOn w:val="Normal"/>
    <w:pPr>
      <w:spacing w:before="280" w:after="280"/>
    </w:pPr>
    <w:rPr>
      <w:b/>
      <w:bCs/>
      <w:strike/>
      <w:color w:val="DC143C"/>
      <w:sz w:val="24"/>
      <w:szCs w:val="24"/>
    </w:rPr>
  </w:style>
  <w:style w:type="paragraph" w:styleId="ss">
    <w:name w:val="ss"/>
    <w:basedOn w:val="Normal"/>
    <w:pPr>
      <w:spacing w:before="280" w:after="280"/>
    </w:pPr>
    <w:rPr>
      <w:b/>
      <w:bCs/>
      <w:color w:val="000000"/>
      <w:sz w:val="22"/>
      <w:szCs w:val="22"/>
    </w:rPr>
  </w:style>
  <w:style w:type="paragraph" w:styleId="tss">
    <w:name w:val="tss"/>
    <w:basedOn w:val="Normal"/>
    <w:pPr>
      <w:spacing w:before="280" w:after="280"/>
    </w:pPr>
    <w:rPr>
      <w:b/>
      <w:bCs/>
      <w:color w:val="000000"/>
      <w:sz w:val="22"/>
      <w:szCs w:val="22"/>
    </w:rPr>
  </w:style>
  <w:style w:type="paragraph" w:styleId="ssa">
    <w:name w:val="ssa"/>
    <w:basedOn w:val="Normal"/>
    <w:pPr>
      <w:spacing w:before="280" w:after="280"/>
    </w:pPr>
    <w:rPr>
      <w:b/>
      <w:bCs/>
      <w:strike/>
      <w:color w:val="DC143C"/>
      <w:sz w:val="22"/>
      <w:szCs w:val="22"/>
    </w:rPr>
  </w:style>
  <w:style w:type="paragraph" w:styleId="tssa">
    <w:name w:val="tssa"/>
    <w:basedOn w:val="Normal"/>
    <w:pPr>
      <w:spacing w:before="280" w:after="280"/>
    </w:pPr>
    <w:rPr>
      <w:b/>
      <w:bCs/>
      <w:strike/>
      <w:color w:val="DC143C"/>
      <w:sz w:val="22"/>
      <w:szCs w:val="22"/>
    </w:rPr>
  </w:style>
  <w:style w:type="paragraph" w:styleId="ar">
    <w:name w:val="ar"/>
    <w:basedOn w:val="Normal"/>
    <w:pPr>
      <w:spacing w:before="280" w:after="280"/>
    </w:pPr>
    <w:rPr>
      <w:b/>
      <w:bCs/>
      <w:color w:val="0000AF"/>
      <w:sz w:val="22"/>
      <w:szCs w:val="22"/>
    </w:rPr>
  </w:style>
  <w:style w:type="paragraph" w:styleId="tar">
    <w:name w:val="tar"/>
    <w:basedOn w:val="Normal"/>
    <w:pPr>
      <w:spacing w:before="280" w:after="280"/>
    </w:pPr>
    <w:rPr>
      <w:b/>
      <w:bCs/>
      <w:color w:val="000000"/>
      <w:sz w:val="22"/>
      <w:szCs w:val="22"/>
    </w:rPr>
  </w:style>
  <w:style w:type="paragraph" w:styleId="ara">
    <w:name w:val="ara"/>
    <w:basedOn w:val="Normal"/>
    <w:pPr>
      <w:spacing w:before="280" w:after="280"/>
    </w:pPr>
    <w:rPr>
      <w:b/>
      <w:bCs/>
      <w:strike/>
      <w:color w:val="DC143C"/>
      <w:sz w:val="22"/>
      <w:szCs w:val="22"/>
    </w:rPr>
  </w:style>
  <w:style w:type="paragraph" w:styleId="tara">
    <w:name w:val="tara"/>
    <w:basedOn w:val="Normal"/>
    <w:pPr>
      <w:spacing w:before="280" w:after="280"/>
    </w:pPr>
    <w:rPr>
      <w:b/>
      <w:bCs/>
      <w:strike/>
      <w:color w:val="DC143C"/>
      <w:sz w:val="22"/>
      <w:szCs w:val="22"/>
    </w:rPr>
  </w:style>
  <w:style w:type="paragraph" w:styleId="sr">
    <w:name w:val="sr"/>
    <w:basedOn w:val="Normal"/>
    <w:pPr>
      <w:spacing w:before="280" w:after="280"/>
    </w:pPr>
    <w:rPr>
      <w:b/>
      <w:bCs/>
      <w:color w:val="000000"/>
    </w:rPr>
  </w:style>
  <w:style w:type="paragraph" w:styleId="tsr">
    <w:name w:val="tsr"/>
    <w:basedOn w:val="Normal"/>
    <w:pPr>
      <w:spacing w:before="280" w:after="280"/>
    </w:pPr>
    <w:rPr>
      <w:b/>
      <w:bCs/>
      <w:color w:val="000000"/>
    </w:rPr>
  </w:style>
  <w:style w:type="paragraph" w:styleId="sra">
    <w:name w:val="sra"/>
    <w:basedOn w:val="Normal"/>
    <w:pPr>
      <w:spacing w:before="280" w:after="280"/>
    </w:pPr>
    <w:rPr>
      <w:b/>
      <w:bCs/>
      <w:strike/>
      <w:color w:val="DC143C"/>
    </w:rPr>
  </w:style>
  <w:style w:type="paragraph" w:styleId="tsra">
    <w:name w:val="tsra"/>
    <w:basedOn w:val="Normal"/>
    <w:pPr>
      <w:spacing w:before="280" w:after="280"/>
    </w:pPr>
    <w:rPr>
      <w:b/>
      <w:bCs/>
      <w:strike/>
      <w:color w:val="DC143C"/>
    </w:rPr>
  </w:style>
  <w:style w:type="paragraph" w:styleId="nt">
    <w:name w:val="nt"/>
    <w:basedOn w:val="Normal"/>
    <w:pPr>
      <w:spacing w:before="280" w:after="280"/>
    </w:pPr>
    <w:rPr>
      <w:b/>
      <w:bCs/>
      <w:color w:val="000000"/>
      <w:sz w:val="18"/>
      <w:szCs w:val="18"/>
    </w:rPr>
  </w:style>
  <w:style w:type="paragraph" w:styleId="tnt">
    <w:name w:val="tnt"/>
    <w:basedOn w:val="Normal"/>
    <w:pPr>
      <w:spacing w:before="280" w:after="280"/>
    </w:pPr>
    <w:rPr>
      <w:b/>
      <w:bCs/>
      <w:color w:val="000000"/>
      <w:sz w:val="18"/>
      <w:szCs w:val="18"/>
    </w:rPr>
  </w:style>
  <w:style w:type="paragraph" w:styleId="nta">
    <w:name w:val="nta"/>
    <w:basedOn w:val="Normal"/>
    <w:pPr>
      <w:spacing w:before="280" w:after="280"/>
    </w:pPr>
    <w:rPr>
      <w:b/>
      <w:bCs/>
      <w:strike/>
      <w:color w:val="DC143C"/>
      <w:sz w:val="18"/>
      <w:szCs w:val="18"/>
    </w:rPr>
  </w:style>
  <w:style w:type="paragraph" w:styleId="tnta">
    <w:name w:val="tnta"/>
    <w:basedOn w:val="Normal"/>
    <w:pPr>
      <w:spacing w:before="280" w:after="280"/>
    </w:pPr>
    <w:rPr>
      <w:b/>
      <w:bCs/>
      <w:strike/>
      <w:color w:val="DC143C"/>
      <w:sz w:val="18"/>
      <w:szCs w:val="18"/>
    </w:rPr>
  </w:style>
  <w:style w:type="paragraph" w:styleId="ls">
    <w:name w:val="ls"/>
    <w:basedOn w:val="Normal"/>
    <w:pPr>
      <w:spacing w:before="280" w:after="280"/>
    </w:pPr>
    <w:rPr>
      <w:b/>
      <w:bCs/>
      <w:color w:val="000000"/>
    </w:rPr>
  </w:style>
  <w:style w:type="paragraph" w:styleId="tls">
    <w:name w:val="tls"/>
    <w:basedOn w:val="Normal"/>
    <w:pPr>
      <w:spacing w:before="280" w:after="280"/>
    </w:pPr>
    <w:rPr>
      <w:b/>
      <w:bCs/>
      <w:color w:val="000000"/>
    </w:rPr>
  </w:style>
  <w:style w:type="paragraph" w:styleId="lsa">
    <w:name w:val="lsa"/>
    <w:basedOn w:val="Normal"/>
    <w:pPr>
      <w:spacing w:before="280" w:after="280"/>
    </w:pPr>
    <w:rPr>
      <w:b/>
      <w:bCs/>
      <w:strike/>
      <w:color w:val="DC143C"/>
    </w:rPr>
  </w:style>
  <w:style w:type="paragraph" w:styleId="tlsa">
    <w:name w:val="tlsa"/>
    <w:basedOn w:val="Normal"/>
    <w:pPr>
      <w:spacing w:before="280" w:after="280"/>
    </w:pPr>
    <w:rPr>
      <w:b/>
      <w:bCs/>
      <w:strike/>
      <w:color w:val="DC143C"/>
    </w:rPr>
  </w:style>
  <w:style w:type="paragraph" w:styleId="ct">
    <w:name w:val="ct"/>
    <w:basedOn w:val="Normal"/>
    <w:pPr>
      <w:spacing w:before="280" w:after="280"/>
    </w:pPr>
    <w:rPr>
      <w:b/>
      <w:bCs/>
      <w:color w:val="000000"/>
      <w:sz w:val="26"/>
      <w:szCs w:val="26"/>
    </w:rPr>
  </w:style>
  <w:style w:type="paragraph" w:styleId="tct">
    <w:name w:val="tct"/>
    <w:basedOn w:val="Normal"/>
    <w:pPr>
      <w:spacing w:before="280" w:after="280"/>
    </w:pPr>
    <w:rPr>
      <w:b/>
      <w:bCs/>
      <w:color w:val="000000"/>
      <w:sz w:val="26"/>
      <w:szCs w:val="26"/>
    </w:rPr>
  </w:style>
  <w:style w:type="paragraph" w:styleId="cta">
    <w:name w:val="cta"/>
    <w:basedOn w:val="Normal"/>
    <w:pPr>
      <w:spacing w:before="280" w:after="280"/>
    </w:pPr>
    <w:rPr>
      <w:b/>
      <w:bCs/>
      <w:strike/>
      <w:color w:val="DC143C"/>
      <w:sz w:val="26"/>
      <w:szCs w:val="26"/>
    </w:rPr>
  </w:style>
  <w:style w:type="paragraph" w:styleId="tcta">
    <w:name w:val="tcta"/>
    <w:basedOn w:val="Normal"/>
    <w:pPr>
      <w:spacing w:before="280" w:after="280"/>
    </w:pPr>
    <w:rPr>
      <w:b/>
      <w:bCs/>
      <w:strike/>
      <w:color w:val="DC143C"/>
      <w:sz w:val="26"/>
      <w:szCs w:val="26"/>
    </w:rPr>
  </w:style>
  <w:style w:type="paragraph" w:styleId="ta">
    <w:name w:val="ta"/>
    <w:basedOn w:val="Normal"/>
    <w:pPr>
      <w:spacing w:before="280" w:after="280"/>
    </w:pPr>
    <w:rPr>
      <w:b/>
      <w:bCs/>
      <w:color w:val="000000"/>
    </w:rPr>
  </w:style>
  <w:style w:type="paragraph" w:styleId="tta0">
    <w:name w:val="tta0"/>
    <w:basedOn w:val="Normal"/>
    <w:pPr>
      <w:spacing w:before="280" w:after="280"/>
    </w:pPr>
    <w:rPr>
      <w:b/>
      <w:bCs/>
      <w:color w:val="000000"/>
    </w:rPr>
  </w:style>
  <w:style w:type="paragraph" w:styleId="taa">
    <w:name w:val="taa"/>
    <w:basedOn w:val="Normal"/>
    <w:pPr>
      <w:spacing w:before="280" w:after="280"/>
    </w:pPr>
    <w:rPr>
      <w:b/>
      <w:bCs/>
      <w:strike/>
      <w:color w:val="DC143C"/>
    </w:rPr>
  </w:style>
  <w:style w:type="paragraph" w:styleId="ttaa">
    <w:name w:val="ttaa"/>
    <w:basedOn w:val="Normal"/>
    <w:pPr>
      <w:spacing w:before="280" w:after="280"/>
    </w:pPr>
    <w:rPr>
      <w:b/>
      <w:bCs/>
      <w:strike/>
      <w:color w:val="DC143C"/>
    </w:rPr>
  </w:style>
  <w:style w:type="paragraph" w:styleId="tpa">
    <w:name w:val="tpa"/>
    <w:basedOn w:val="Normal"/>
    <w:pPr>
      <w:spacing w:before="280" w:after="280"/>
    </w:pPr>
    <w:rPr>
      <w:color w:val="000000"/>
      <w:sz w:val="24"/>
      <w:szCs w:val="24"/>
    </w:rPr>
  </w:style>
  <w:style w:type="paragraph" w:styleId="paa">
    <w:name w:val="paa"/>
    <w:basedOn w:val="Normal"/>
    <w:pPr>
      <w:spacing w:before="280" w:after="280"/>
    </w:pPr>
    <w:rPr>
      <w:strike/>
      <w:color w:val="DC143C"/>
      <w:sz w:val="24"/>
      <w:szCs w:val="24"/>
    </w:rPr>
  </w:style>
  <w:style w:type="paragraph" w:styleId="tpaa">
    <w:name w:val="tpaa"/>
    <w:basedOn w:val="Normal"/>
    <w:pPr>
      <w:spacing w:before="280" w:after="280"/>
    </w:pPr>
    <w:rPr>
      <w:strike/>
      <w:color w:val="DC143C"/>
      <w:sz w:val="24"/>
      <w:szCs w:val="24"/>
    </w:rPr>
  </w:style>
  <w:style w:type="paragraph" w:styleId="al">
    <w:name w:val="al"/>
    <w:basedOn w:val="Normal"/>
    <w:pPr>
      <w:spacing w:before="280" w:after="280"/>
    </w:pPr>
    <w:rPr>
      <w:b/>
      <w:bCs/>
      <w:color w:val="008F00"/>
      <w:sz w:val="24"/>
      <w:szCs w:val="24"/>
    </w:rPr>
  </w:style>
  <w:style w:type="paragraph" w:styleId="tal">
    <w:name w:val="tal"/>
    <w:basedOn w:val="Normal"/>
    <w:pPr>
      <w:spacing w:before="280" w:after="280"/>
    </w:pPr>
    <w:rPr>
      <w:color w:val="000000"/>
      <w:sz w:val="24"/>
      <w:szCs w:val="24"/>
    </w:rPr>
  </w:style>
  <w:style w:type="paragraph" w:styleId="ala">
    <w:name w:val="ala"/>
    <w:basedOn w:val="Normal"/>
    <w:pPr>
      <w:spacing w:before="280" w:after="280"/>
    </w:pPr>
    <w:rPr>
      <w:b/>
      <w:bCs/>
      <w:strike/>
      <w:color w:val="DC143C"/>
      <w:sz w:val="24"/>
      <w:szCs w:val="24"/>
    </w:rPr>
  </w:style>
  <w:style w:type="paragraph" w:styleId="tala">
    <w:name w:val="tala"/>
    <w:basedOn w:val="Normal"/>
    <w:pPr>
      <w:spacing w:before="280" w:after="280"/>
    </w:pPr>
    <w:rPr>
      <w:strike/>
      <w:color w:val="DC143C"/>
      <w:sz w:val="24"/>
      <w:szCs w:val="24"/>
    </w:rPr>
  </w:style>
  <w:style w:type="paragraph" w:styleId="li">
    <w:name w:val="li"/>
    <w:basedOn w:val="Normal"/>
    <w:pPr>
      <w:spacing w:before="280" w:after="280"/>
    </w:pPr>
    <w:rPr>
      <w:b/>
      <w:bCs/>
      <w:color w:val="8F0000"/>
      <w:sz w:val="24"/>
      <w:szCs w:val="24"/>
    </w:rPr>
  </w:style>
  <w:style w:type="paragraph" w:styleId="tli">
    <w:name w:val="tli"/>
    <w:basedOn w:val="Normal"/>
    <w:pPr>
      <w:spacing w:before="280" w:after="280"/>
    </w:pPr>
    <w:rPr>
      <w:color w:val="000000"/>
      <w:sz w:val="24"/>
      <w:szCs w:val="24"/>
    </w:rPr>
  </w:style>
  <w:style w:type="paragraph" w:styleId="lia">
    <w:name w:val="lia"/>
    <w:basedOn w:val="Normal"/>
    <w:pPr>
      <w:spacing w:before="280" w:after="280"/>
    </w:pPr>
    <w:rPr>
      <w:b/>
      <w:bCs/>
      <w:strike/>
      <w:color w:val="DC143C"/>
      <w:sz w:val="24"/>
      <w:szCs w:val="24"/>
    </w:rPr>
  </w:style>
  <w:style w:type="paragraph" w:styleId="tlia">
    <w:name w:val="tlia"/>
    <w:basedOn w:val="Normal"/>
    <w:pPr>
      <w:spacing w:before="280" w:after="280"/>
    </w:pPr>
    <w:rPr>
      <w:strike/>
      <w:color w:val="DC143C"/>
      <w:sz w:val="24"/>
      <w:szCs w:val="24"/>
    </w:rPr>
  </w:style>
  <w:style w:type="paragraph" w:styleId="lt">
    <w:name w:val="lt"/>
    <w:basedOn w:val="Normal"/>
    <w:pPr>
      <w:spacing w:before="280" w:after="280"/>
    </w:pPr>
    <w:rPr>
      <w:b/>
      <w:bCs/>
      <w:color w:val="8F0000"/>
      <w:sz w:val="24"/>
      <w:szCs w:val="24"/>
    </w:rPr>
  </w:style>
  <w:style w:type="paragraph" w:styleId="tlt">
    <w:name w:val="tlt"/>
    <w:basedOn w:val="Normal"/>
    <w:pPr>
      <w:spacing w:before="280" w:after="280"/>
    </w:pPr>
    <w:rPr>
      <w:color w:val="000000"/>
      <w:sz w:val="24"/>
      <w:szCs w:val="24"/>
    </w:rPr>
  </w:style>
  <w:style w:type="paragraph" w:styleId="lta">
    <w:name w:val="lta"/>
    <w:basedOn w:val="Normal"/>
    <w:pPr>
      <w:spacing w:before="280" w:after="280"/>
    </w:pPr>
    <w:rPr>
      <w:b/>
      <w:bCs/>
      <w:strike/>
      <w:color w:val="DC143C"/>
      <w:sz w:val="24"/>
      <w:szCs w:val="24"/>
    </w:rPr>
  </w:style>
  <w:style w:type="paragraph" w:styleId="tlta">
    <w:name w:val="tlta"/>
    <w:basedOn w:val="Normal"/>
    <w:pPr>
      <w:spacing w:before="280" w:after="280"/>
    </w:pPr>
    <w:rPr>
      <w:strike/>
      <w:color w:val="DC143C"/>
      <w:sz w:val="24"/>
      <w:szCs w:val="24"/>
    </w:rPr>
  </w:style>
  <w:style w:type="paragraph" w:styleId="pt">
    <w:name w:val="pt"/>
    <w:basedOn w:val="Normal"/>
    <w:pPr>
      <w:spacing w:before="280" w:after="280"/>
    </w:pPr>
    <w:rPr>
      <w:b/>
      <w:bCs/>
      <w:color w:val="8F0000"/>
      <w:sz w:val="24"/>
      <w:szCs w:val="24"/>
    </w:rPr>
  </w:style>
  <w:style w:type="paragraph" w:styleId="tpt">
    <w:name w:val="tpt"/>
    <w:basedOn w:val="Normal"/>
    <w:pPr>
      <w:spacing w:before="280" w:after="280"/>
    </w:pPr>
    <w:rPr>
      <w:color w:val="000000"/>
      <w:sz w:val="24"/>
      <w:szCs w:val="24"/>
    </w:rPr>
  </w:style>
  <w:style w:type="paragraph" w:styleId="pta">
    <w:name w:val="pta"/>
    <w:basedOn w:val="Normal"/>
    <w:pPr>
      <w:spacing w:before="280" w:after="280"/>
    </w:pPr>
    <w:rPr>
      <w:b/>
      <w:bCs/>
      <w:strike/>
      <w:color w:val="DC143C"/>
      <w:sz w:val="24"/>
      <w:szCs w:val="24"/>
    </w:rPr>
  </w:style>
  <w:style w:type="paragraph" w:styleId="tpta">
    <w:name w:val="tpta"/>
    <w:basedOn w:val="Normal"/>
    <w:pPr>
      <w:spacing w:before="280" w:after="280"/>
    </w:pPr>
    <w:rPr>
      <w:strike/>
      <w:color w:val="DC143C"/>
      <w:sz w:val="24"/>
      <w:szCs w:val="24"/>
    </w:rPr>
  </w:style>
  <w:style w:type="paragraph" w:styleId="sp">
    <w:name w:val="sp"/>
    <w:basedOn w:val="Normal"/>
    <w:pPr>
      <w:spacing w:before="280" w:after="280"/>
    </w:pPr>
    <w:rPr>
      <w:b/>
      <w:bCs/>
      <w:color w:val="8F0000"/>
      <w:sz w:val="24"/>
      <w:szCs w:val="24"/>
    </w:rPr>
  </w:style>
  <w:style w:type="paragraph" w:styleId="tsp">
    <w:name w:val="tsp"/>
    <w:basedOn w:val="Normal"/>
    <w:pPr>
      <w:spacing w:before="280" w:after="280"/>
    </w:pPr>
    <w:rPr>
      <w:color w:val="000000"/>
      <w:sz w:val="24"/>
      <w:szCs w:val="24"/>
    </w:rPr>
  </w:style>
  <w:style w:type="paragraph" w:styleId="spa">
    <w:name w:val="spa"/>
    <w:basedOn w:val="Normal"/>
    <w:pPr>
      <w:spacing w:before="280" w:after="280"/>
    </w:pPr>
    <w:rPr>
      <w:b/>
      <w:bCs/>
      <w:strike/>
      <w:color w:val="DC143C"/>
      <w:sz w:val="24"/>
      <w:szCs w:val="24"/>
    </w:rPr>
  </w:style>
  <w:style w:type="paragraph" w:styleId="tspa">
    <w:name w:val="tspa"/>
    <w:basedOn w:val="Normal"/>
    <w:pPr>
      <w:spacing w:before="280" w:after="280"/>
    </w:pPr>
    <w:rPr>
      <w:strike/>
      <w:color w:val="DC143C"/>
      <w:sz w:val="24"/>
      <w:szCs w:val="24"/>
    </w:rPr>
  </w:style>
  <w:style w:type="paragraph" w:styleId="TableText">
    <w:name w:val="Table Text"/>
    <w:basedOn w:val="Normal"/>
    <w:pPr/>
    <w:rPr>
      <w:rFonts w:ascii="TimesRomanR;Times New Roman" w:hAnsi="TimesRomanR;Times New Roman" w:cs="TimesRomanR;Times New Roman"/>
      <w:sz w:val="28"/>
    </w:rPr>
  </w:style>
  <w:style w:type="paragraph" w:styleId="Default">
    <w:name w:val="Default"/>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zh-CN" w:bidi="ar-SA"/>
    </w:rPr>
  </w:style>
  <w:style w:type="paragraph" w:styleId="CM2">
    <w:name w:val="CM2"/>
    <w:basedOn w:val="Default"/>
    <w:next w:val="Default"/>
    <w:pPr>
      <w:spacing w:lineRule="atLeast" w:line="216"/>
    </w:pPr>
    <w:rPr>
      <w:color w:val="000000"/>
    </w:rPr>
  </w:style>
  <w:style w:type="paragraph" w:styleId="CM1">
    <w:name w:val="CM1"/>
    <w:basedOn w:val="Default"/>
    <w:next w:val="Default"/>
    <w:pPr>
      <w:spacing w:lineRule="atLeast" w:line="211"/>
    </w:pPr>
    <w:rPr>
      <w:color w:val="000000"/>
    </w:rPr>
  </w:style>
  <w:style w:type="paragraph" w:styleId="CM5">
    <w:name w:val="CM5"/>
    <w:basedOn w:val="Default"/>
    <w:next w:val="Default"/>
    <w:pPr/>
    <w:rPr>
      <w:color w:val="000000"/>
    </w:rPr>
  </w:style>
  <w:style w:type="paragraph" w:styleId="CM4">
    <w:name w:val="CM4"/>
    <w:basedOn w:val="Default"/>
    <w:next w:val="Default"/>
    <w:pPr>
      <w:spacing w:lineRule="atLeast" w:line="213"/>
    </w:pPr>
    <w:rPr>
      <w:color w:val="000000"/>
    </w:rPr>
  </w:style>
  <w:style w:type="paragraph" w:styleId="CM11">
    <w:name w:val="CM1+1"/>
    <w:basedOn w:val="Default"/>
    <w:next w:val="Default"/>
    <w:pPr>
      <w:spacing w:lineRule="atLeast" w:line="213"/>
    </w:pPr>
    <w:rPr>
      <w:color w:val="000000"/>
    </w:rPr>
  </w:style>
  <w:style w:type="paragraph" w:styleId="CM21">
    <w:name w:val="CM2+1"/>
    <w:basedOn w:val="Default"/>
    <w:next w:val="Default"/>
    <w:pPr/>
    <w:rPr>
      <w:color w:val="000000"/>
    </w:rPr>
  </w:style>
  <w:style w:type="paragraph" w:styleId="CM31">
    <w:name w:val="CM3+1"/>
    <w:basedOn w:val="Default"/>
    <w:next w:val="Default"/>
    <w:pPr>
      <w:spacing w:lineRule="atLeast" w:line="213"/>
    </w:pPr>
    <w:rPr>
      <w:color w:val="000000"/>
    </w:rPr>
  </w:style>
  <w:style w:type="paragraph" w:styleId="CM12">
    <w:name w:val="CM1+2"/>
    <w:basedOn w:val="Default"/>
    <w:next w:val="Default"/>
    <w:pPr>
      <w:spacing w:lineRule="atLeast" w:line="220"/>
    </w:pPr>
    <w:rPr>
      <w:color w:val="000000"/>
    </w:rPr>
  </w:style>
  <w:style w:type="paragraph" w:styleId="CM32">
    <w:name w:val="CM3+2"/>
    <w:basedOn w:val="Default"/>
    <w:next w:val="Default"/>
    <w:pPr/>
    <w:rPr>
      <w:color w:val="000000"/>
    </w:rPr>
  </w:style>
  <w:style w:type="paragraph" w:styleId="CM22">
    <w:name w:val="CM2+2"/>
    <w:basedOn w:val="Default"/>
    <w:next w:val="Default"/>
    <w:pPr>
      <w:spacing w:lineRule="atLeast" w:line="218"/>
    </w:pPr>
    <w:rPr>
      <w:color w:val="000000"/>
    </w:rPr>
  </w:style>
  <w:style w:type="paragraph" w:styleId="CM13">
    <w:name w:val="CM1+3"/>
    <w:basedOn w:val="Default"/>
    <w:next w:val="Default"/>
    <w:pPr>
      <w:spacing w:lineRule="atLeast" w:line="213"/>
    </w:pPr>
    <w:rPr>
      <w:color w:val="000000"/>
    </w:rPr>
  </w:style>
  <w:style w:type="paragraph" w:styleId="CM6">
    <w:name w:val="CM6"/>
    <w:basedOn w:val="Default"/>
    <w:next w:val="Default"/>
    <w:pPr/>
    <w:rPr>
      <w:color w:val="000000"/>
    </w:rPr>
  </w:style>
  <w:style w:type="paragraph" w:styleId="CM23">
    <w:name w:val="CM2+3"/>
    <w:basedOn w:val="Default"/>
    <w:next w:val="Default"/>
    <w:pPr>
      <w:spacing w:lineRule="atLeast" w:line="226"/>
    </w:pPr>
    <w:rPr>
      <w:color w:val="000000"/>
    </w:rPr>
  </w:style>
  <w:style w:type="paragraph" w:styleId="CM33">
    <w:name w:val="CM3+3"/>
    <w:basedOn w:val="Default"/>
    <w:next w:val="Default"/>
    <w:pPr>
      <w:spacing w:lineRule="atLeast" w:line="213"/>
    </w:pPr>
    <w:rPr>
      <w:color w:val="000000"/>
    </w:rPr>
  </w:style>
  <w:style w:type="paragraph" w:styleId="CM42">
    <w:name w:val="CM4+2"/>
    <w:basedOn w:val="Default"/>
    <w:next w:val="Default"/>
    <w:pPr>
      <w:spacing w:lineRule="atLeast" w:line="216"/>
    </w:pPr>
    <w:rPr>
      <w:color w:val="000000"/>
    </w:rPr>
  </w:style>
  <w:style w:type="paragraph" w:styleId="CM51">
    <w:name w:val="CM5+1"/>
    <w:basedOn w:val="Default"/>
    <w:next w:val="Default"/>
    <w:pPr>
      <w:spacing w:lineRule="atLeast" w:line="213"/>
    </w:pPr>
    <w:rPr>
      <w:color w:val="000000"/>
    </w:rPr>
  </w:style>
  <w:style w:type="paragraph" w:styleId="CM14">
    <w:name w:val="CM1+4"/>
    <w:basedOn w:val="Default"/>
    <w:next w:val="Default"/>
    <w:pPr>
      <w:spacing w:lineRule="atLeast" w:line="213"/>
    </w:pPr>
    <w:rPr>
      <w:color w:val="000000"/>
    </w:rPr>
  </w:style>
  <w:style w:type="paragraph" w:styleId="CM24">
    <w:name w:val="CM2+4"/>
    <w:basedOn w:val="Default"/>
    <w:next w:val="Default"/>
    <w:pPr>
      <w:spacing w:lineRule="atLeast" w:line="211"/>
    </w:pPr>
    <w:rPr>
      <w:color w:val="000000"/>
    </w:rPr>
  </w:style>
  <w:style w:type="paragraph" w:styleId="CM34">
    <w:name w:val="CM3+4"/>
    <w:basedOn w:val="Default"/>
    <w:next w:val="Default"/>
    <w:pPr>
      <w:spacing w:lineRule="atLeast" w:line="213"/>
    </w:pPr>
    <w:rPr>
      <w:color w:val="000000"/>
    </w:rPr>
  </w:style>
  <w:style w:type="paragraph" w:styleId="CM15">
    <w:name w:val="CM1+5"/>
    <w:basedOn w:val="Default"/>
    <w:next w:val="Default"/>
    <w:pPr>
      <w:spacing w:lineRule="atLeast" w:line="218"/>
    </w:pPr>
    <w:rPr>
      <w:color w:val="000000"/>
    </w:rPr>
  </w:style>
  <w:style w:type="paragraph" w:styleId="CM25">
    <w:name w:val="CM2+5"/>
    <w:basedOn w:val="Default"/>
    <w:next w:val="Default"/>
    <w:pPr>
      <w:spacing w:lineRule="atLeast" w:line="216"/>
    </w:pPr>
    <w:rPr>
      <w:color w:val="000000"/>
    </w:rPr>
  </w:style>
  <w:style w:type="paragraph" w:styleId="CM35">
    <w:name w:val="CM3+5"/>
    <w:basedOn w:val="Default"/>
    <w:next w:val="Default"/>
    <w:pPr>
      <w:spacing w:lineRule="atLeast" w:line="213"/>
    </w:pPr>
    <w:rPr>
      <w:color w:val="000000"/>
    </w:rPr>
  </w:style>
  <w:style w:type="paragraph" w:styleId="CM43">
    <w:name w:val="CM4+3"/>
    <w:basedOn w:val="Default"/>
    <w:next w:val="Default"/>
    <w:pPr>
      <w:spacing w:lineRule="atLeast" w:line="213"/>
    </w:pPr>
    <w:rPr>
      <w:color w:val="000000"/>
    </w:rPr>
  </w:style>
  <w:style w:type="paragraph" w:styleId="CM52">
    <w:name w:val="CM5+2"/>
    <w:basedOn w:val="Default"/>
    <w:next w:val="Default"/>
    <w:pPr>
      <w:spacing w:lineRule="atLeast" w:line="213"/>
    </w:pPr>
    <w:rPr>
      <w:color w:val="000000"/>
    </w:rPr>
  </w:style>
  <w:style w:type="paragraph" w:styleId="CM61">
    <w:name w:val="CM6+1"/>
    <w:basedOn w:val="Default"/>
    <w:next w:val="Default"/>
    <w:pPr/>
    <w:rPr>
      <w:color w:val="000000"/>
    </w:rPr>
  </w:style>
  <w:style w:type="paragraph" w:styleId="CM7">
    <w:name w:val="CM7"/>
    <w:basedOn w:val="Default"/>
    <w:next w:val="Default"/>
    <w:pPr>
      <w:spacing w:lineRule="atLeast" w:line="213"/>
    </w:pPr>
    <w:rPr>
      <w:color w:val="000000"/>
    </w:rPr>
  </w:style>
  <w:style w:type="paragraph" w:styleId="CM16">
    <w:name w:val="CM1+6"/>
    <w:basedOn w:val="Default"/>
    <w:next w:val="Default"/>
    <w:pPr>
      <w:spacing w:lineRule="atLeast" w:line="206"/>
    </w:pPr>
    <w:rPr>
      <w:color w:val="000000"/>
    </w:rPr>
  </w:style>
  <w:style w:type="paragraph" w:styleId="CM26">
    <w:name w:val="CM2+6"/>
    <w:basedOn w:val="Default"/>
    <w:next w:val="Default"/>
    <w:pPr>
      <w:spacing w:lineRule="atLeast" w:line="213"/>
    </w:pPr>
    <w:rPr>
      <w:color w:val="000000"/>
    </w:rPr>
  </w:style>
  <w:style w:type="paragraph" w:styleId="CM36">
    <w:name w:val="CM3+6"/>
    <w:basedOn w:val="Default"/>
    <w:next w:val="Default"/>
    <w:pPr>
      <w:spacing w:lineRule="atLeast" w:line="216"/>
    </w:pPr>
    <w:rPr>
      <w:color w:val="000000"/>
    </w:rPr>
  </w:style>
  <w:style w:type="paragraph" w:styleId="CM17">
    <w:name w:val="CM1+7"/>
    <w:basedOn w:val="Default"/>
    <w:next w:val="Default"/>
    <w:pPr>
      <w:spacing w:lineRule="atLeast" w:line="213"/>
    </w:pPr>
    <w:rPr>
      <w:color w:val="000000"/>
    </w:rPr>
  </w:style>
  <w:style w:type="paragraph" w:styleId="CM27">
    <w:name w:val="CM2+7"/>
    <w:basedOn w:val="Default"/>
    <w:next w:val="Default"/>
    <w:pPr>
      <w:spacing w:lineRule="atLeast" w:line="218"/>
    </w:pPr>
    <w:rPr>
      <w:color w:val="000000"/>
    </w:rPr>
  </w:style>
  <w:style w:type="paragraph" w:styleId="CM37">
    <w:name w:val="CM3+7"/>
    <w:basedOn w:val="Default"/>
    <w:next w:val="Default"/>
    <w:pPr>
      <w:spacing w:lineRule="atLeast" w:line="216"/>
    </w:pPr>
    <w:rPr>
      <w:color w:val="000000"/>
    </w:rPr>
  </w:style>
  <w:style w:type="paragraph" w:styleId="CM44">
    <w:name w:val="CM4+4"/>
    <w:basedOn w:val="Default"/>
    <w:next w:val="Default"/>
    <w:pPr>
      <w:spacing w:lineRule="atLeast" w:line="228"/>
    </w:pPr>
    <w:rPr>
      <w:color w:val="000000"/>
    </w:rPr>
  </w:style>
  <w:style w:type="paragraph" w:styleId="CM18">
    <w:name w:val="CM1+8"/>
    <w:basedOn w:val="Default"/>
    <w:next w:val="Default"/>
    <w:pPr>
      <w:spacing w:lineRule="atLeast" w:line="218"/>
    </w:pPr>
    <w:rPr>
      <w:color w:val="000000"/>
    </w:rPr>
  </w:style>
  <w:style w:type="paragraph" w:styleId="CM19">
    <w:name w:val="CM1+9"/>
    <w:basedOn w:val="Default"/>
    <w:next w:val="Default"/>
    <w:pPr>
      <w:spacing w:lineRule="atLeast" w:line="213"/>
    </w:pPr>
    <w:rPr>
      <w:color w:val="000000"/>
    </w:rPr>
  </w:style>
  <w:style w:type="paragraph" w:styleId="CM28">
    <w:name w:val="CM2+8"/>
    <w:basedOn w:val="Default"/>
    <w:next w:val="Default"/>
    <w:pPr>
      <w:spacing w:lineRule="atLeast" w:line="211"/>
    </w:pPr>
    <w:rPr>
      <w:color w:val="000000"/>
    </w:rPr>
  </w:style>
  <w:style w:type="paragraph" w:styleId="CM38">
    <w:name w:val="CM3+8"/>
    <w:basedOn w:val="Default"/>
    <w:next w:val="Default"/>
    <w:pPr>
      <w:spacing w:lineRule="atLeast" w:line="211"/>
    </w:pPr>
    <w:rPr>
      <w:color w:val="000000"/>
    </w:rPr>
  </w:style>
  <w:style w:type="paragraph" w:styleId="CM62">
    <w:name w:val="CM6+2"/>
    <w:basedOn w:val="Default"/>
    <w:next w:val="Default"/>
    <w:pPr/>
    <w:rPr>
      <w:color w:val="000000"/>
    </w:rPr>
  </w:style>
  <w:style w:type="paragraph" w:styleId="CM45">
    <w:name w:val="CM4+5"/>
    <w:basedOn w:val="Default"/>
    <w:next w:val="Default"/>
    <w:pPr>
      <w:spacing w:lineRule="atLeast" w:line="211"/>
    </w:pPr>
    <w:rPr>
      <w:color w:val="000000"/>
    </w:rPr>
  </w:style>
  <w:style w:type="paragraph" w:styleId="CM53">
    <w:name w:val="CM5+3"/>
    <w:basedOn w:val="Default"/>
    <w:next w:val="Default"/>
    <w:pPr>
      <w:spacing w:lineRule="atLeast" w:line="208"/>
    </w:pPr>
    <w:rPr>
      <w:color w:val="000000"/>
    </w:rPr>
  </w:style>
  <w:style w:type="paragraph" w:styleId="CM110">
    <w:name w:val="CM1+10"/>
    <w:basedOn w:val="Default"/>
    <w:next w:val="Default"/>
    <w:pPr>
      <w:spacing w:lineRule="atLeast" w:line="213"/>
    </w:pPr>
    <w:rPr>
      <w:color w:val="000000"/>
    </w:rPr>
  </w:style>
  <w:style w:type="paragraph" w:styleId="CM29">
    <w:name w:val="CM2+9"/>
    <w:basedOn w:val="Default"/>
    <w:next w:val="Default"/>
    <w:pPr/>
    <w:rPr>
      <w:color w:val="000000"/>
    </w:rPr>
  </w:style>
  <w:style w:type="paragraph" w:styleId="CM8">
    <w:name w:val="CM8"/>
    <w:basedOn w:val="Default"/>
    <w:next w:val="Default"/>
    <w:pPr/>
    <w:rPr>
      <w:color w:val="000000"/>
    </w:rPr>
  </w:style>
  <w:style w:type="paragraph" w:styleId="CM39">
    <w:name w:val="CM3+9"/>
    <w:basedOn w:val="Default"/>
    <w:next w:val="Default"/>
    <w:pPr/>
    <w:rPr>
      <w:color w:val="000000"/>
    </w:rPr>
  </w:style>
  <w:style w:type="paragraph" w:styleId="CM46">
    <w:name w:val="CM4+6"/>
    <w:basedOn w:val="Default"/>
    <w:next w:val="Default"/>
    <w:pPr>
      <w:spacing w:lineRule="atLeast" w:line="203"/>
    </w:pPr>
    <w:rPr>
      <w:color w:val="000000"/>
    </w:rPr>
  </w:style>
  <w:style w:type="paragraph" w:styleId="CM54">
    <w:name w:val="CM5+4"/>
    <w:basedOn w:val="Default"/>
    <w:next w:val="Default"/>
    <w:pPr>
      <w:spacing w:lineRule="atLeast" w:line="208"/>
    </w:pPr>
    <w:rPr>
      <w:color w:val="000000"/>
    </w:rPr>
  </w:style>
  <w:style w:type="paragraph" w:styleId="CM71">
    <w:name w:val="CM7+1"/>
    <w:basedOn w:val="Default"/>
    <w:next w:val="Default"/>
    <w:pPr/>
    <w:rPr>
      <w:color w:val="000000"/>
    </w:rPr>
  </w:style>
  <w:style w:type="paragraph" w:styleId="CM63">
    <w:name w:val="CM6+3"/>
    <w:basedOn w:val="Default"/>
    <w:next w:val="Default"/>
    <w:pPr>
      <w:spacing w:lineRule="atLeast" w:line="208"/>
    </w:pPr>
    <w:rPr>
      <w:color w:val="000000"/>
    </w:rPr>
  </w:style>
  <w:style w:type="paragraph" w:styleId="CM111">
    <w:name w:val="CM1+11"/>
    <w:basedOn w:val="Default"/>
    <w:next w:val="Default"/>
    <w:pPr>
      <w:spacing w:lineRule="atLeast" w:line="213"/>
    </w:pPr>
    <w:rPr>
      <w:rFonts w:ascii="HiddenHorzOCl;Arial" w:hAnsi="HiddenHorzOCl;Arial" w:cs="HiddenHorzOCl;Arial"/>
      <w:color w:val="000000"/>
    </w:rPr>
  </w:style>
  <w:style w:type="paragraph" w:styleId="CM210">
    <w:name w:val="CM2+10"/>
    <w:basedOn w:val="Default"/>
    <w:next w:val="Default"/>
    <w:pPr>
      <w:spacing w:lineRule="atLeast" w:line="211"/>
    </w:pPr>
    <w:rPr>
      <w:rFonts w:ascii="HiddenHorzOCl;Arial" w:hAnsi="HiddenHorzOCl;Arial" w:cs="HiddenHorzOCl;Arial"/>
      <w:color w:val="000000"/>
    </w:rPr>
  </w:style>
  <w:style w:type="paragraph" w:styleId="CM310">
    <w:name w:val="CM3+10"/>
    <w:basedOn w:val="Default"/>
    <w:next w:val="Default"/>
    <w:pPr>
      <w:spacing w:lineRule="atLeast" w:line="216"/>
    </w:pPr>
    <w:rPr>
      <w:rFonts w:ascii="HiddenHorzOCl;Arial" w:hAnsi="HiddenHorzOCl;Arial" w:cs="HiddenHorzOCl;Arial"/>
      <w:color w:val="000000"/>
    </w:rPr>
  </w:style>
  <w:style w:type="paragraph" w:styleId="CM64">
    <w:name w:val="CM6+4"/>
    <w:basedOn w:val="Default"/>
    <w:next w:val="Default"/>
    <w:pPr/>
    <w:rPr>
      <w:rFonts w:ascii="HiddenHorzOCl;Arial" w:hAnsi="HiddenHorzOCl;Arial" w:cs="HiddenHorzOCl;Arial"/>
      <w:color w:val="000000"/>
    </w:rPr>
  </w:style>
  <w:style w:type="paragraph" w:styleId="CM55">
    <w:name w:val="CM5+5"/>
    <w:basedOn w:val="Default"/>
    <w:next w:val="Default"/>
    <w:pPr/>
    <w:rPr>
      <w:rFonts w:ascii="HiddenHorzOCl;Arial" w:hAnsi="HiddenHorzOCl;Arial" w:cs="HiddenHorzOCl;Arial"/>
      <w:color w:val="000000"/>
    </w:rPr>
  </w:style>
  <w:style w:type="paragraph" w:styleId="CM112">
    <w:name w:val="CM1+12"/>
    <w:basedOn w:val="Default"/>
    <w:next w:val="Default"/>
    <w:pPr>
      <w:spacing w:lineRule="atLeast" w:line="218"/>
    </w:pPr>
    <w:rPr>
      <w:color w:val="000000"/>
    </w:rPr>
  </w:style>
  <w:style w:type="paragraph" w:styleId="CM211">
    <w:name w:val="CM2+11"/>
    <w:basedOn w:val="Default"/>
    <w:next w:val="Default"/>
    <w:pPr>
      <w:spacing w:lineRule="atLeast" w:line="213"/>
    </w:pPr>
    <w:rPr>
      <w:color w:val="000000"/>
    </w:rPr>
  </w:style>
  <w:style w:type="paragraph" w:styleId="CM56">
    <w:name w:val="CM5+6"/>
    <w:basedOn w:val="Default"/>
    <w:next w:val="Default"/>
    <w:pPr/>
    <w:rPr>
      <w:color w:val="000000"/>
    </w:rPr>
  </w:style>
  <w:style w:type="paragraph" w:styleId="CM48">
    <w:name w:val="CM4+8"/>
    <w:basedOn w:val="Default"/>
    <w:next w:val="Default"/>
    <w:pPr/>
    <w:rPr>
      <w:color w:val="000000"/>
    </w:rPr>
  </w:style>
  <w:style w:type="paragraph" w:styleId="CM113">
    <w:name w:val="CM1+13"/>
    <w:basedOn w:val="Default"/>
    <w:next w:val="Default"/>
    <w:pPr>
      <w:spacing w:lineRule="atLeast" w:line="216"/>
    </w:pPr>
    <w:rPr>
      <w:color w:val="000000"/>
    </w:rPr>
  </w:style>
  <w:style w:type="paragraph" w:styleId="CM212">
    <w:name w:val="CM2+12"/>
    <w:basedOn w:val="Default"/>
    <w:next w:val="Default"/>
    <w:pPr/>
    <w:rPr>
      <w:color w:val="000000"/>
    </w:rPr>
  </w:style>
  <w:style w:type="paragraph" w:styleId="CM312">
    <w:name w:val="CM3+12"/>
    <w:basedOn w:val="Default"/>
    <w:next w:val="Default"/>
    <w:pPr>
      <w:spacing w:lineRule="atLeast" w:line="216"/>
    </w:pPr>
    <w:rPr>
      <w:color w:val="000000"/>
    </w:rPr>
  </w:style>
  <w:style w:type="paragraph" w:styleId="CM57">
    <w:name w:val="CM5+7"/>
    <w:basedOn w:val="Default"/>
    <w:next w:val="Default"/>
    <w:pPr/>
    <w:rPr>
      <w:color w:val="000000"/>
    </w:rPr>
  </w:style>
  <w:style w:type="paragraph" w:styleId="CM49">
    <w:name w:val="CM4+9"/>
    <w:basedOn w:val="Default"/>
    <w:next w:val="Default"/>
    <w:pPr>
      <w:spacing w:lineRule="atLeast" w:line="218"/>
    </w:pPr>
    <w:rPr>
      <w:color w:val="000000"/>
    </w:rPr>
  </w:style>
  <w:style w:type="paragraph" w:styleId="CM114">
    <w:name w:val="CM1+14"/>
    <w:basedOn w:val="Default"/>
    <w:next w:val="Default"/>
    <w:pPr>
      <w:spacing w:lineRule="atLeast" w:line="216"/>
    </w:pPr>
    <w:rPr>
      <w:color w:val="000000"/>
    </w:rPr>
  </w:style>
  <w:style w:type="paragraph" w:styleId="CM213">
    <w:name w:val="CM2+13"/>
    <w:basedOn w:val="Default"/>
    <w:next w:val="Default"/>
    <w:pPr>
      <w:spacing w:lineRule="atLeast" w:line="213"/>
    </w:pPr>
    <w:rPr>
      <w:color w:val="000000"/>
    </w:rPr>
  </w:style>
  <w:style w:type="paragraph" w:styleId="CM313">
    <w:name w:val="CM3+13"/>
    <w:basedOn w:val="Default"/>
    <w:next w:val="Default"/>
    <w:pPr>
      <w:spacing w:lineRule="atLeast" w:line="218"/>
    </w:pPr>
    <w:rPr>
      <w:color w:val="000000"/>
    </w:rPr>
  </w:style>
  <w:style w:type="paragraph" w:styleId="CM115">
    <w:name w:val="CM1+15"/>
    <w:basedOn w:val="Default"/>
    <w:next w:val="Default"/>
    <w:pPr>
      <w:spacing w:lineRule="atLeast" w:line="213"/>
    </w:pPr>
    <w:rPr>
      <w:color w:val="000000"/>
    </w:rPr>
  </w:style>
  <w:style w:type="paragraph" w:styleId="CM214">
    <w:name w:val="CM2+14"/>
    <w:basedOn w:val="Default"/>
    <w:next w:val="Default"/>
    <w:pPr>
      <w:spacing w:lineRule="atLeast" w:line="223"/>
    </w:pPr>
    <w:rPr>
      <w:color w:val="000000"/>
    </w:rPr>
  </w:style>
  <w:style w:type="paragraph" w:styleId="CM314">
    <w:name w:val="CM3+14"/>
    <w:basedOn w:val="Default"/>
    <w:next w:val="Default"/>
    <w:pPr>
      <w:spacing w:lineRule="atLeast" w:line="220"/>
    </w:pPr>
    <w:rPr>
      <w:color w:val="000000"/>
    </w:rPr>
  </w:style>
  <w:style w:type="paragraph" w:styleId="CM410">
    <w:name w:val="CM4+10"/>
    <w:basedOn w:val="Default"/>
    <w:next w:val="Default"/>
    <w:pPr>
      <w:spacing w:lineRule="atLeast" w:line="218"/>
    </w:pPr>
    <w:rPr>
      <w:color w:val="000000"/>
    </w:rPr>
  </w:style>
  <w:style w:type="paragraph" w:styleId="CM58">
    <w:name w:val="CM5+8"/>
    <w:basedOn w:val="Default"/>
    <w:next w:val="Default"/>
    <w:pPr>
      <w:spacing w:lineRule="atLeast" w:line="220"/>
    </w:pPr>
    <w:rPr>
      <w:color w:val="000000"/>
    </w:rPr>
  </w:style>
  <w:style w:type="paragraph" w:styleId="CM65">
    <w:name w:val="CM6+5"/>
    <w:basedOn w:val="Default"/>
    <w:next w:val="Default"/>
    <w:pPr>
      <w:spacing w:lineRule="atLeast" w:line="218"/>
    </w:pPr>
    <w:rPr>
      <w:color w:val="000000"/>
    </w:rPr>
  </w:style>
  <w:style w:type="paragraph" w:styleId="CM116">
    <w:name w:val="CM1+16"/>
    <w:basedOn w:val="Default"/>
    <w:next w:val="Default"/>
    <w:pPr>
      <w:spacing w:lineRule="atLeast" w:line="213"/>
    </w:pPr>
    <w:rPr>
      <w:color w:val="000000"/>
    </w:rPr>
  </w:style>
  <w:style w:type="paragraph" w:styleId="CM215">
    <w:name w:val="CM2+15"/>
    <w:basedOn w:val="Default"/>
    <w:next w:val="Default"/>
    <w:pPr>
      <w:spacing w:lineRule="atLeast" w:line="211"/>
    </w:pPr>
    <w:rPr>
      <w:color w:val="000000"/>
    </w:rPr>
  </w:style>
  <w:style w:type="paragraph" w:styleId="CM315">
    <w:name w:val="CM3+15"/>
    <w:basedOn w:val="Default"/>
    <w:next w:val="Default"/>
    <w:pPr>
      <w:spacing w:lineRule="atLeast" w:line="218"/>
    </w:pPr>
    <w:rPr>
      <w:color w:val="000000"/>
    </w:rPr>
  </w:style>
  <w:style w:type="paragraph" w:styleId="CM117">
    <w:name w:val="CM1+17"/>
    <w:basedOn w:val="Default"/>
    <w:next w:val="Default"/>
    <w:pPr>
      <w:spacing w:lineRule="atLeast" w:line="211"/>
    </w:pPr>
    <w:rPr>
      <w:color w:val="000000"/>
    </w:rPr>
  </w:style>
  <w:style w:type="paragraph" w:styleId="CM3">
    <w:name w:val="CM3"/>
    <w:basedOn w:val="Default"/>
    <w:next w:val="Default"/>
    <w:pPr>
      <w:spacing w:lineRule="atLeast" w:line="218"/>
    </w:pPr>
    <w:rPr>
      <w:color w:val="000000"/>
    </w:rPr>
  </w:style>
  <w:style w:type="paragraph" w:styleId="CM216">
    <w:name w:val="CM2+16"/>
    <w:basedOn w:val="Default"/>
    <w:next w:val="Default"/>
    <w:pPr>
      <w:spacing w:lineRule="atLeast" w:line="213"/>
    </w:pPr>
    <w:rPr>
      <w:color w:val="000000"/>
    </w:rPr>
  </w:style>
  <w:style w:type="paragraph" w:styleId="CM41">
    <w:name w:val="CM4+1"/>
    <w:basedOn w:val="Default"/>
    <w:next w:val="Default"/>
    <w:pPr>
      <w:spacing w:lineRule="atLeast" w:line="213"/>
    </w:pPr>
    <w:rPr>
      <w:color w:val="000000"/>
    </w:rPr>
  </w:style>
  <w:style w:type="paragraph" w:styleId="PlainText">
    <w:name w:val="Plain Text"/>
    <w:basedOn w:val="Normal"/>
    <w:pPr/>
    <w:rPr>
      <w:rFonts w:ascii="Courier New" w:hAnsi="Courier New" w:cs="Courier New"/>
      <w:color w:val="008080"/>
      <w:lang w:val="en-AU"/>
    </w:rPr>
  </w:style>
  <w:style w:type="paragraph" w:styleId="Style8">
    <w:name w:val="Style8"/>
    <w:basedOn w:val="Normal"/>
    <w:pPr>
      <w:widowControl w:val="false"/>
      <w:spacing w:lineRule="exact" w:line="245"/>
      <w:jc w:val="both"/>
    </w:pPr>
    <w:rPr>
      <w:rFonts w:ascii="Century Gothic" w:hAnsi="Century Gothic" w:cs="Century Gothic"/>
      <w:sz w:val="24"/>
      <w:szCs w:val="24"/>
    </w:rPr>
  </w:style>
  <w:style w:type="paragraph" w:styleId="normal1">
    <w:name w:val="normal1"/>
    <w:basedOn w:val="Normal"/>
    <w:pPr>
      <w:spacing w:before="280" w:after="280"/>
    </w:pPr>
    <w:rPr>
      <w:sz w:val="24"/>
      <w:szCs w:val="24"/>
    </w:rPr>
  </w:style>
  <w:style w:type="paragraph" w:styleId="BalloonText">
    <w:name w:val="Balloon Text"/>
    <w:basedOn w:val="Normal"/>
    <w:pPr/>
    <w:rPr>
      <w:rFonts w:ascii="Segoe UI" w:hAnsi="Segoe UI" w:cs="Segoe UI"/>
      <w:sz w:val="18"/>
      <w:szCs w:val="18"/>
      <w:lang w:val="en-US"/>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 w:type="numbering" w:styleId="WW8Num24">
    <w:name w:val="WW8Num24"/>
  </w:style>
  <w:style w:type="numbering" w:styleId="WW8Num25">
    <w:name w:val="WW8Num25"/>
  </w:style>
  <w:style w:type="numbering" w:styleId="WW8Num26">
    <w:name w:val="WW8Num26"/>
  </w:style>
  <w:style w:type="numbering" w:styleId="WW8Num27">
    <w:name w:val="WW8Num27"/>
  </w:style>
  <w:style w:type="numbering" w:styleId="WW8Num28">
    <w:name w:val="WW8Num28"/>
  </w:style>
  <w:style w:type="numbering" w:styleId="WW8Num29">
    <w:name w:val="WW8Num29"/>
  </w:style>
  <w:style w:type="numbering" w:styleId="WW8Num30">
    <w:name w:val="WW8Num30"/>
  </w:style>
  <w:style w:type="numbering" w:styleId="WW8Num31">
    <w:name w:val="WW8Num31"/>
  </w:style>
  <w:style w:type="numbering" w:styleId="WW8Num32">
    <w:name w:val="WW8Num32"/>
  </w:style>
  <w:style w:type="numbering" w:styleId="WW8Num33">
    <w:name w:val="WW8Num33"/>
  </w:style>
  <w:style w:type="numbering" w:styleId="WW8Num34">
    <w:name w:val="WW8Num34"/>
  </w:style>
  <w:style w:type="numbering" w:styleId="WW8Num35">
    <w:name w:val="WW8Num35"/>
  </w:style>
  <w:style w:type="numbering" w:styleId="WW8Num36">
    <w:name w:val="WW8Num36"/>
  </w:style>
  <w:style w:type="numbering" w:styleId="WW8Num37">
    <w:name w:val="WW8Num37"/>
  </w:style>
  <w:style w:type="numbering" w:styleId="WW8Num38">
    <w:name w:val="WW8Num38"/>
  </w:style>
  <w:style w:type="numbering" w:styleId="WW8Num39">
    <w:name w:val="WW8Num39"/>
  </w:style>
  <w:style w:type="numbering" w:styleId="WW8Num40">
    <w:name w:val="WW8Num40"/>
  </w:style>
  <w:style w:type="numbering" w:styleId="WW8Num41">
    <w:name w:val="WW8Num41"/>
  </w:style>
  <w:style w:type="numbering" w:styleId="WW8Num42">
    <w:name w:val="WW8Num42"/>
  </w:style>
  <w:style w:type="numbering" w:styleId="WW8Num43">
    <w:name w:val="WW8Num43"/>
  </w:style>
  <w:style w:type="numbering" w:styleId="WW8Num44">
    <w:name w:val="WW8Num44"/>
  </w:style>
  <w:style w:type="numbering" w:styleId="WW8Num45">
    <w:name w:val="WW8Num45"/>
  </w:style>
  <w:style w:type="numbering" w:styleId="WW8Num46">
    <w:name w:val="WW8Num46"/>
  </w:style>
  <w:style w:type="numbering" w:styleId="WW8Num47">
    <w:name w:val="WW8Num47"/>
  </w:style>
  <w:style w:type="numbering" w:styleId="WW8Num48">
    <w:name w:val="WW8Num48"/>
  </w:style>
  <w:style w:type="numbering" w:styleId="WW8Num49">
    <w:name w:val="WW8Num49"/>
  </w:style>
  <w:style w:type="numbering" w:styleId="WW8Num50">
    <w:name w:val="WW8Num50"/>
  </w:style>
  <w:style w:type="numbering" w:styleId="WW8Num51">
    <w:name w:val="WW8Num51"/>
  </w:style>
  <w:style w:type="numbering" w:styleId="WW8Num52">
    <w:name w:val="WW8Num52"/>
  </w:style>
  <w:style w:type="numbering" w:styleId="WW8Num53">
    <w:name w:val="WW8Num53"/>
  </w:style>
  <w:style w:type="numbering" w:styleId="WW8Num54">
    <w:name w:val="WW8Num54"/>
  </w:style>
  <w:style w:type="numbering" w:styleId="WW8Num55">
    <w:name w:val="WW8Num55"/>
  </w:style>
  <w:style w:type="numbering" w:styleId="WW8Num56">
    <w:name w:val="WW8Num56"/>
  </w:style>
  <w:style w:type="numbering" w:styleId="WW8Num57">
    <w:name w:val="WW8Num57"/>
  </w:style>
  <w:style w:type="numbering" w:styleId="WW8Num58">
    <w:name w:val="WW8Num58"/>
  </w:style>
  <w:style w:type="numbering" w:styleId="WW8Num59">
    <w:name w:val="WW8Num59"/>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wmf"/><Relationship Id="rId4" Type="http://schemas.openxmlformats.org/officeDocument/2006/relationships/image" Target="media/image3.wmf"/><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emf"/><Relationship Id="rId8" Type="http://schemas.openxmlformats.org/officeDocument/2006/relationships/header" Target="header1.xml"/><Relationship Id="rId9" Type="http://schemas.openxmlformats.org/officeDocument/2006/relationships/header" Target="header2.xml"/><Relationship Id="rId10" Type="http://schemas.openxmlformats.org/officeDocument/2006/relationships/header" Target="header3.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LibreOffice/26.8.0.3$Linux_AARCH64 LibreOffice_project/680$Build-3</Application>
  <AppVersion>15.0000</AppVersion>
  <Pages>31</Pages>
  <Words>17009</Words>
  <Characters>102089</Characters>
  <CharactersWithSpaces>117734</CharactersWithSpaces>
  <Paragraphs>1016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2024-03-04T10:36:00Z</dcterms:created>
  <dc:creator>Bebe</dc:creator>
  <dc:description/>
  <dc:language>en-US</dc:language>
  <cp:lastModifiedBy/>
  <cp:lastPrinted>2024-03-04T12:41:00Z</cp:lastPrinted>
  <dcterms:modified xsi:type="dcterms:W3CDTF">2026-09-19T01:22:11Z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