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keepNext w:val="false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Legea 319/ 2006 Art. 11, alin. (1), lit. b) și din H.G. 1425/ 2006 Art. 103, alin. (1)–(5), {{client.representativeName}},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oprirea echipamentului de muncă și/ sau a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conducerea locurilor de muncă din cadrul {{client.legalName}} – {{workplaceManagersText}} – {{#workplaceManagersAssumeImminentDanger}}își asumă, în calitate de personal desemnat,{{/workplaceManagersAssumeImminentDanger}}{{#workplaceManagersAssumeAndDesignateImminentDanger}}își asumă rolul de personal desemnat și desemnează pe {{imminentDangerOthersText}}, cu{{/workplaceManagersAssumeAndDesignateImminentDanger}}{{#workplaceManagersDesignateImminentDanger}}desemnează pe {{imminentDangerText}}, cu{{/workplaceManagersDesignateImminentDanger}}{{#workplaceManagersDesignateAlongsideImminentDanger}}desemnează pe {{imminentDangerOthersText}}, alături de {{imminentDangerManagerNames}}, care își asumă rolul de personal desemnat, cu{{/workplaceManagersDesignateAlongsideImminentDanger}}{{#workplaceManagersAssignImminentDanger}}stabilește ca {{imminentDangerManagerNames}} să își asume, în calitate de personal desemnat,{{/workplaceManagersAssignImminentDanger}}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mijloacelor de comunicare necesare contactării serviciilor specializate: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personalul desemnat sau reprezentantul legal al angajatorului.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