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la locul de muncă și instruirea periodică pentru personalul de conducere al locurilor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Personalul de conducere al locurilor de muncă – {{workplaceManagersText}} – va efectua instruirea la locul de muncă și instruirea periodică pentru întreg personalul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 Durata instruirii introductiv-generale nu va fi mai mică de 4 ore;</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pct.4 - Durata instruirii la locul de muncă nu va fi mai mică de 4 ore;</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pct. 6)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HG 1425/2006,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w:t>
      </w:r>
      <w:r>
        <w:rPr>
          <w:rFonts w:eastAsia="Arial" w:cs="Arial" w:ascii="Arial" w:hAnsi="Arial"/>
          <w:color w:val="auto"/>
          <w:spacing w:val="0"/>
          <w:w w:val="100"/>
          <w:sz w:val="20"/>
          <w:szCs w:val="20"/>
          <w:lang w:val="ro-RO"/>
        </w:rPr>
        <w:t xml:space="preserve"> și șefii de locuri de muncă vor fi instruiți </w:t>
      </w:r>
      <w:r>
        <w:rPr>
          <w:rFonts w:eastAsia="Arial" w:cs="Arial" w:ascii="Arial" w:hAnsi="Arial"/>
          <w:b/>
          <w:bCs/>
          <w:color w:val="auto"/>
          <w:spacing w:val="0"/>
          <w:w w:val="100"/>
          <w:sz w:val="20"/>
          <w:szCs w:val="20"/>
          <w:lang w:val="ro-RO"/>
        </w:rPr>
        <w:t>{{training.administrativeFrequency}}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{{training.workerFrequency}}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Durata instruirii suplimentare va fi de </w:t>
      </w:r>
      <w:r>
        <w:rPr>
          <w:rFonts w:eastAsia="Arial" w:cs="Arial" w:ascii="Arial" w:hAnsi="Arial"/>
          <w:b/>
          <w:color w:val="auto"/>
          <w:spacing w:val="0"/>
          <w:w w:val="100"/>
          <w:sz w:val="20"/>
          <w:szCs w:val="20"/>
          <w:lang w:val="ro-RO"/>
        </w:rPr>
        <w:t>4 ore</w:t>
      </w:r>
      <w:r>
        <w:rPr>
          <w:rFonts w:eastAsia="Arial" w:cs="Arial" w:ascii="Arial" w:hAnsi="Arial"/>
          <w:color w:val="auto"/>
          <w:spacing w:val="0"/>
          <w:w w:val="100"/>
          <w:sz w:val="20"/>
          <w:szCs w:val="20"/>
          <w:lang w:val="ro-RO"/>
        </w:rPr>
        <w:t>.</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(Preluare din H.G. 1425/ 2006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(șefi de loc de muncă menționați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