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2.wmf" ContentType="image/x-wmf"/>
  <Override PartName="/word/media/image3.wmf" ContentType="image/x-wmf"/>
  <Override PartName="/word/media/image6.emf" ContentType="image/x-e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Style w:val="tpt1"/>
          <w:rFonts w:ascii="Arial" w:hAnsi="Arial" w:cs="Arial"/>
          <w:b/>
          <w:lang w:val="it-IT"/>
        </w:rPr>
      </w:pPr>
      <w:r>
        <w:rPr>
          <w:rStyle w:val="tpt1"/>
          <w:rFonts w:eastAsia="Arial" w:cs="Arial" w:ascii="Arial" w:hAnsi="Arial"/>
          <w:b/>
          <w:color w:val="auto"/>
          <w:spacing w:val="0"/>
          <w:w w:val="100"/>
          <w:sz w:val="24"/>
          <w:szCs w:val="20"/>
          <w:lang w:val="ro-RO"/>
        </w:rPr>
        <w:t>MATERIAL DE INFORMARE A ANGAJATORULUI CU PRIVIRE LA PREVEDERILE LEGISLATIVE DIN DOMENIUL SECURITĂȚII ȘI SĂNĂTĂȚII ÎN MUNCĂ PENTRU {{client.legalName}}</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r>
        <w:trPr>
          <w:cantSplit/>
        </w:trPr>
        <w:tc>
          <w:tcPr>
            <w:tcW w:w="4677"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c>
          <w:tcPr>
            <w:tcW w:w="4678"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r>
    </w:tbl>
    <w:p>
      <w:pPr>
        <w:pStyle w:val="Normal"/>
        <w:keepNext w:val="true"/>
        <w:widowControl/>
        <w:numPr>
          <w:ilvl w:val="0"/>
          <w:numId w:val="9"/>
        </w:numPr>
        <w:spacing w:before="120" w:after="120"/>
        <w:jc w:val="left"/>
        <w:rPr>
          <w:rFonts w:ascii="Arial" w:hAnsi="Arial" w:cs="Arial"/>
          <w:sz w:val="18"/>
          <w:szCs w:val="18"/>
          <w:lang w:val="de-DE"/>
        </w:rPr>
      </w:pPr>
      <w:r>
        <w:rPr>
          <w:rFonts w:eastAsia="Arial" w:cs="Arial" w:ascii="Arial" w:hAnsi="Arial"/>
          <w:color w:val="auto"/>
          <w:spacing w:val="0"/>
          <w:w w:val="100"/>
          <w:sz w:val="20"/>
          <w:szCs w:val="20"/>
          <w:lang w:val="ro-RO"/>
        </w:rPr>
        <w:t>Odată cu prezentul material informativ, s-au predat și următoarele documente:</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responsabilii cu instruirea în domeniul securității și sănătății în muncă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responsabilii cu acordarea primului ajutor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 Dispoziția de constituire a echipei de evaluare a riscurilor de accidentare și/ sau îmbolnăvire profesională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lucrătorii desemnați cu luarea măsurilor în caz de pericol grav și iminent</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desemnarea reprezentanților lucrătorilor cu răspunderi specifice în domeniul securității și sănătății în muncă</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Registre de evidență a evenimentelor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Material de instruire în domeniul securității și sănătății în muncă pentru instruirea introductiv – generală (cod MISSMIG)</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Instrucțiuni proprii privind instruirea lucrătorilor în domeniul securității și sănătății în muncă (cod IPSSM)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Tematicile pentru toate fazele de instruire și programul de instruire – testare la nivelul unității, conform cu periodicitatea adecvat stabilită pentru fiecare loc de muncă / post de lucru (cod TISSM)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Test angajare în domeniul securității și sănătății în muncă (cod TASSM)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Test anual în domeniul securității și sănătății în muncă (cod TPSSM)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Lista internă cu necesarul de dotare cu echipament individual de protecție (e.i.p.) a lucrătorilor (cod LN E.I.P.)</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Document justificativ de control, privind verificarea tematică la locurile de muncă, informare deficiențe constatate și propuneri de măsuri de prevenire și protecție (cod RSSM)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Regulament intern privind controlul propriu privind respectarea prevederilor legale, a dispozițiilor, instrucțiunilor și reglementărilor interne în domeniul securității și sănătății în muncă (cod M.I. 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Evaluarea riscurilor de accidentare și îmbolnăvire profesională pentru locurile de muncă (Descrierea metodei elaborate de I.N.C.D.P.M București, utilizată de evaluator) (cod EVR)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Planul de prevenire și protecție întocmit în baza evaluării riscurilor (cod PPP)</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material informativ</w:t>
      </w:r>
      <w:r>
        <w:rPr>
          <w:rStyle w:val="tpt1"/>
          <w:rFonts w:eastAsia="Arial" w:cs="Arial" w:ascii="Arial" w:hAnsi="Arial"/>
          <w:b/>
          <w:color w:val="auto"/>
          <w:spacing w:val="0"/>
          <w:w w:val="100"/>
          <w:sz w:val="20"/>
          <w:szCs w:val="20"/>
          <w:lang w:val="ro-RO"/>
        </w:rPr>
        <w:t xml:space="preserve"> – {{client.legalName}}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 Prevederi generale pentru angajator conform legii 319/ 2006</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 Obligațiile angajatorului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III. Obligațiile și drepturile angajaților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IV. Organizarea activităților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 Organizarea activităților de prevenire și protecție pentru întreprinderile cu până la 9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 Organizarea activităților de prevenire și protecție pentru întreprinderile care au între 10 și 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IV.III. Organizarea activităților de prevenire și protecție pentru întreprinderile care au între 50 și 249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IV.IV. Organizarea activităților de prevenire și protecție în cazul întreprinderilor și/ sau unităților care au peste 250 de lucrători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 Desemnarea lucrătorilor pentru activitățile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 Lucrătorii desemnați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 Servicii externe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IV.VIII. Reprezentanții lucrătorilor cu răspunderi specifice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 Informații privind instruirea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 Informații cu privire la comitetul de securitate și sănătate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VII. Comunicarea, cercetarea, înregistrarea și raportarea evenimentelor, accidente de muncă și boli profesionale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VIII. Evaluarea riscurilor de accidentare și/ sau îmbolnăvire profesională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IX. Informații privind necesarul, întocmirea și implementarea necesarului de documentații cu caracter tehnic de informare și instruire 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 Informații privind întocmirea fișei postului</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XI. Informații privind întocmirea regulamentului intern</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 Prevederi generale pentru angajator conform legii 319/ 2006</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6, alin. 1, 2, 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de a asigura securitatea și sănătatea lucrătorilor în toate aspectele legate de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un angajator apelează la servicii externe, acesta nu este exonerat de responsabilitățile sale în acest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(Legea 319/ 2006, Art. 7, alin. 3) Angajatorul are obligația să implementeze măsurile prevăzute de legea 319/ 2006 pe baza următoarelor principii generale de prevenire: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2"/>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(Legea 319/ 2006, Art. 7, alin. 5) Fără a aduce atingere altor prevederi ale prezentei legi, atunci când în același loc de muncă își desfășoară activitatea lucrători din mai multe întreprinderi și/sau unități, angajatorii acestora au următoarele obligații:</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și/sau reprezentanții acestora despre riscurile profesionale.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(Legea 319/ 2006, Art. 7, alin. 6) Măsurile privind securitatea, sănătatea și igiena în muncă nu trebuie să comporte în nicio situație obligații financiare pentru lucrători.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2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49"/>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 319/ 2006, ținând seama de natura activităților din întreprindere și/ sau unitate, angajatorul are obligația:</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0"/>
          <w:numId w:val="6"/>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14"/>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14"/>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ia măsuri și să furnizeze instrucțiuni pentru a da lucrătorilor posibilitatea să oprească lucrul și/sau să părăsească imediat locul de muncă și să se îndrepte spre o zona sigură, în caz de pericol grav și iminent;</w:t>
      </w:r>
    </w:p>
    <w:p>
      <w:pPr>
        <w:pStyle w:val="Normal"/>
        <w:widowControl/>
        <w:numPr>
          <w:ilvl w:val="0"/>
          <w:numId w:val="11"/>
        </w:numPr>
        <w:spacing w:before="0" w:after="120"/>
        <w:ind w:right="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zona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ca,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dovada de neglijența gravă.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0"/>
          <w:numId w:val="2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zonelor cu risc ridicat și specific prevăzute la art. 7, alin. (4), lit. e) din legea 319/ 2006;</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asigure funcționarea permanenta și corectă a sistemelor și dispozitivelor de protecție, a aparaturii de măsura și control, precum și a instalațiilor de captare, reținere și neutralizare a substanțelor nocive degajate în desfășurarea proceselor tehnologice;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0"/>
          <w:numId w:val="8"/>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Activitățile de prevenire și protecție în cadrul întreprinderii și/ sau al unității sunt următoarele:</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asigurarea întocmirii planului de acțiune în caz de pericol grav și iminent, și asigurarea ca toți lucrătorii să fie instruiți pentru aplicarea lui;</w:t>
      </w:r>
    </w:p>
    <w:p>
      <w:pPr>
        <w:pStyle w:val="Normal"/>
        <w:widowControl/>
        <w:numPr>
          <w:ilvl w:val="3"/>
          <w:numId w:val="21"/>
        </w:numPr>
        <w:spacing w:before="0" w:after="40"/>
        <w:jc w:val="left"/>
        <w:rPr>
          <w:rFonts w:ascii="Arial" w:hAnsi="Arial" w:cs="Arial"/>
          <w:sz w:val="18"/>
          <w:szCs w:val="18"/>
          <w:lang w:val="it-CH"/>
        </w:rPr>
      </w:pPr>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3"/>
          <w:numId w:val="21"/>
        </w:numPr>
        <w:spacing w:before="0" w:after="4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21"/>
        </w:numPr>
        <w:spacing w:before="0" w:after="40"/>
        <w:jc w:val="left"/>
        <w:rPr>
          <w:rFonts w:ascii="Arial" w:hAnsi="Arial" w:cs="Arial"/>
          <w:b/>
          <w:sz w:val="18"/>
          <w:szCs w:val="18"/>
          <w:lang w:val="pt-PT"/>
        </w:rPr>
      </w:pPr>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întocmirea rapoartelor și/ sau a listelor prevăzute de hotărârile Guvernului emise în temeiul, inclusiv cele referitoare la azbest, vibrații, zgomot și șantiere temporare și mobile;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participarea la cercetarea evenimentelor;</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întocmirea evidențelor;</w:t>
      </w:r>
    </w:p>
    <w:p>
      <w:pPr>
        <w:pStyle w:val="Normal"/>
        <w:widowControl/>
        <w:numPr>
          <w:ilvl w:val="3"/>
          <w:numId w:val="21"/>
        </w:numPr>
        <w:spacing w:before="0" w:after="40"/>
        <w:jc w:val="left"/>
        <w:rPr>
          <w:rFonts w:ascii="Arial" w:hAnsi="Arial" w:cs="Arial"/>
          <w:sz w:val="18"/>
          <w:szCs w:val="18"/>
          <w:lang w:val="it-IT"/>
        </w:rPr>
      </w:pPr>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 319/ 2006</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21"/>
        </w:numPr>
        <w:spacing w:before="0" w:after="40"/>
        <w:jc w:val="left"/>
        <w:rPr>
          <w:rStyle w:val="tpt1"/>
          <w:rFonts w:ascii="Arial" w:hAnsi="Arial" w:cs="Arial"/>
          <w:sz w:val="18"/>
          <w:szCs w:val="18"/>
          <w:lang w:val="es-ES_tradnl"/>
        </w:rPr>
      </w:pPr>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3"/>
          <w:numId w:val="2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21"/>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necesare/specifice asigurării securității și sănătății lucrătorilor la locul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ca mediul de muncă și condițiile de lucru sunt sigure și fără riscuri pentru securitate și sănătate, în domeniul său de activitate;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0"/>
          <w:numId w:val="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22, alin. (1) din Legea 319/ 2006 se aplică, după caz, și celorlalți participanți la procesul de muncă, potrivit activităților pe care aceștia le desfășoară.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IV. Organizarea activităților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14, alin. 6) </w:t>
      </w:r>
      <w:r>
        <w:rPr>
          <w:rStyle w:val="tpa1"/>
          <w:rFonts w:eastAsia="Arial" w:cs="Arial" w:ascii="Arial" w:hAnsi="Arial"/>
          <w:b/>
          <w:color w:val="auto"/>
          <w:spacing w:val="0"/>
          <w:w w:val="100"/>
          <w:sz w:val="20"/>
          <w:szCs w:val="20"/>
          <w:lang w:val="ro-RO"/>
        </w:rPr>
        <w:t>Organizarea activităților de prevenire și protecție este realizată de către angajator, în următoarele moduri:</w:t>
      </w:r>
    </w:p>
    <w:p>
      <w:pPr>
        <w:pStyle w:val="Normal"/>
        <w:widowControl/>
        <w:numPr>
          <w:ilvl w:val="2"/>
          <w:numId w:val="9"/>
        </w:numPr>
        <w:spacing w:before="0" w:after="40"/>
        <w:jc w:val="left"/>
        <w:rPr>
          <w:rFonts w:ascii="Arial" w:hAnsi="Arial" w:cs="Arial"/>
          <w:sz w:val="18"/>
          <w:szCs w:val="18"/>
          <w:lang w:val="ro-RO"/>
        </w:rPr>
      </w:pPr>
      <w:r>
        <w:rPr>
          <w:rStyle w:val="tli1"/>
          <w:rFonts w:eastAsia="Arial" w:cs="Arial" w:ascii="Arial" w:hAnsi="Arial"/>
          <w:color w:val="auto"/>
          <w:spacing w:val="0"/>
          <w:w w:val="100"/>
          <w:sz w:val="20"/>
          <w:szCs w:val="20"/>
          <w:lang w:val="ro-RO"/>
        </w:rPr>
        <w:t>prin asumarea de către angajator, în condițiile art. 9 alin. (4) din lege, a atribuțiilor pentru realizarea măsurilor prevăzute de lege;</w:t>
      </w:r>
    </w:p>
    <w:p>
      <w:pPr>
        <w:pStyle w:val="Normal"/>
        <w:widowControl/>
        <w:numPr>
          <w:ilvl w:val="2"/>
          <w:numId w:val="9"/>
        </w:numPr>
        <w:spacing w:before="0" w:after="40"/>
        <w:jc w:val="left"/>
        <w:rPr>
          <w:rFonts w:ascii="Arial" w:hAnsi="Arial" w:cs="Arial"/>
          <w:sz w:val="18"/>
          <w:szCs w:val="18"/>
          <w:lang w:val="fr-FR"/>
        </w:rPr>
      </w:pPr>
      <w:bookmarkStart w:id="0" w:name="do|caIII|si2|ar14|lid"/>
      <w:r>
        <w:rPr>
          <w:rStyle w:val="tli1"/>
          <w:rFonts w:eastAsia="Arial" w:cs="Arial" w:ascii="Arial" w:hAnsi="Arial"/>
          <w:color w:val="auto"/>
          <w:spacing w:val="0"/>
          <w:w w:val="100"/>
          <w:sz w:val="20"/>
          <w:szCs w:val="20"/>
          <w:lang w:val="ro-RO"/>
        </w:rPr>
        <w:t>prin desemnarea unuia sau mai multor lucrători pentru a se ocupa de activitățile de prevenire și protecție;</w:t>
      </w:r>
    </w:p>
    <w:p>
      <w:pPr>
        <w:pStyle w:val="Normal"/>
        <w:widowControl/>
        <w:numPr>
          <w:ilvl w:val="2"/>
          <w:numId w:val="9"/>
        </w:numPr>
        <w:spacing w:before="0" w:after="120"/>
        <w:jc w:val="left"/>
        <w:rPr>
          <w:rFonts w:ascii="Arial" w:hAnsi="Arial" w:cs="Arial"/>
          <w:sz w:val="18"/>
          <w:szCs w:val="18"/>
          <w:lang w:val="fr-FR"/>
        </w:rPr>
      </w:pPr>
      <w:bookmarkEnd w:id="0"/>
      <w:r>
        <w:rPr>
          <w:rStyle w:val="tli1"/>
          <w:rFonts w:eastAsia="Arial" w:cs="Arial" w:ascii="Arial" w:hAnsi="Arial"/>
          <w:color w:val="auto"/>
          <w:spacing w:val="0"/>
          <w:w w:val="100"/>
          <w:sz w:val="20"/>
          <w:szCs w:val="20"/>
          <w:lang w:val="ro-RO"/>
        </w:rPr>
        <w:t>prin apelarea la servicii externe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9)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și/sau unității.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Lucrătorul/lucrătorii și/sau serviciul/serviciile prevăzute la alin. (2) trebuie să colaboreze între ei ori de câte ori este necesar.</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microintreprinderilor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Ministerul Muncii, Solidarității Sociale și Familiei stabilește prin norme metodologice de aplicare a prevederilor prezentei legi capacitățile și aptitudinile necesare, precum și numărul considerat suficient, prevăzute la alin. (1) și (4).</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 Organizarea activităților de prevenire și protecție pentru </w:t>
      </w:r>
      <w:r>
        <w:rPr>
          <w:rStyle w:val="tal1"/>
          <w:rFonts w:eastAsia="Arial" w:cs="Arial" w:ascii="Arial" w:hAnsi="Arial"/>
          <w:b/>
          <w:bCs/>
          <w:color w:val="auto"/>
          <w:spacing w:val="0"/>
          <w:w w:val="100"/>
          <w:sz w:val="20"/>
          <w:szCs w:val="20"/>
          <w:lang w:val="ro-RO"/>
        </w:rPr>
        <w:t>întreprinderile cu până la 9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16)</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cu până la 9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activitățile desfășurate în cadrul întreprinderii nu sunt dintre cele prevăzute în anexa nr. 5 din H.G. 1425/ 2006;</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angajatorul își desfășoară activitatea profesională în mod efectiv și cu regularitate în întreprindere și/sau unitate;</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angajatorul a urmat cel puțin un program de pregătire în domeniul securității și sănătății în muncă, cu o durată minimă de 40 de ore și conținutul prevăzut în anexa nr. 6 lit. A din H.G. 1425/ 2006, fapt care se atesta printr-un document de absolvire a programului de pregătire.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 situația în care nu sunt îndeplinite condițiile prevăzute la alin. (1) de mai sus, angajatorul trebuie să desemneze unul sau mai mulți lucrători ori poate organiza serviciul intern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În cazul în care angajatorul/lucrătorii desemnați/serviciile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10 și 49 de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17)</w:t>
      </w:r>
      <w:r>
        <w:rPr>
          <w:rFonts w:eastAsia="Arial" w:cs="Arial" w:ascii="Arial" w:hAnsi="Arial"/>
          <w:color w:val="auto"/>
          <w:spacing w:val="0"/>
          <w:w w:val="100"/>
          <w:sz w:val="20"/>
          <w:szCs w:val="20"/>
          <w:lang w:val="ro-RO"/>
        </w:rPr>
        <w:t xml:space="preserve"> </w:t>
      </w:r>
      <w:bookmarkStart w:id="1" w:name="do|caIII|si2|ar1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întreprinderilor care au între 10 și 49 de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sunt respectate prevederile art. 16 alin. </w:t>
      </w:r>
      <w:r>
        <w:rPr>
          <w:rStyle w:val="tli1"/>
          <w:rFonts w:eastAsia="Arial" w:cs="Arial" w:ascii="Arial" w:hAnsi="Arial"/>
          <w:bCs/>
          <w:color w:val="auto"/>
          <w:spacing w:val="0"/>
          <w:w w:val="100"/>
          <w:sz w:val="20"/>
          <w:szCs w:val="20"/>
          <w:lang w:val="ro-RO"/>
        </w:rPr>
        <w:t>(1) lit. a) - c);</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riscurile identificate nu pot genera accidente sau boli profesionale cu consecințe grave, ireversibile, respectiv deces ori invaliditate.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situația în care nu sunt îndeplinite condițiile prevăzute la alin. (1), angajatorul trebuie să desemneze unul sau mai mulți lucrători ori poate organiza unul sau mai multe servicii interne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 care angajatorul/lucrătorii desemnați/serviciile interne de prevenire și protecție nu au capacitățile și aptitudinile necesare pentru efectuarea tuturor activităților de prevenire și protecție prevăzute la art. 15,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50 și 249 de lucrători inclusiv</w:t>
      </w:r>
    </w:p>
    <w:p>
      <w:pPr>
        <w:pStyle w:val="Normal"/>
        <w:widowControl/>
        <w:numPr>
          <w:ilvl w:val="0"/>
          <w:numId w:val="9"/>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1425/ 2006 – Art. 18)</w:t>
      </w:r>
      <w:r>
        <w:rPr>
          <w:rFonts w:eastAsia="Arial" w:cs="Arial" w:ascii="Arial" w:hAnsi="Arial"/>
          <w:color w:val="auto"/>
          <w:spacing w:val="0"/>
          <w:w w:val="100"/>
          <w:sz w:val="20"/>
          <w:szCs w:val="20"/>
          <w:lang w:val="ro-RO"/>
        </w:rPr>
        <w:t xml:space="preserve"> </w:t>
      </w:r>
      <w:bookmarkStart w:id="2" w:name="do|caIII|si2|ar19|al1"/>
      <w:bookmarkEnd w:id="1"/>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și/sau unităților care au între 50 și 249 de lucrători, angajatorul trebuie să desemneze unul sau mai mulți lucrători ori să organizeze unul sau mai multe servicii interne de prevenire și protecție pentru a se ocupa de activitățile de prevenire și protecție din cadrul întreprinderii.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cazul întreprinderilor și/sau unităților prevăzute la alin. (1) care desfășoară activități dintre cele prevăzute în anexa nr. 5 </w:t>
      </w:r>
      <w:r>
        <w:rPr>
          <w:rStyle w:val="tli1"/>
          <w:rFonts w:eastAsia="Arial" w:cs="Arial" w:ascii="Arial" w:hAnsi="Arial"/>
          <w:bCs/>
          <w:color w:val="auto"/>
          <w:spacing w:val="0"/>
          <w:w w:val="100"/>
          <w:sz w:val="20"/>
          <w:szCs w:val="20"/>
          <w:lang w:val="ro-RO"/>
        </w:rPr>
        <w:t>din H.G. 1425/ 2006</w:t>
      </w:r>
      <w:r>
        <w:rPr>
          <w:rStyle w:val="tal1"/>
          <w:rFonts w:eastAsia="Arial" w:cs="Arial" w:ascii="Arial" w:hAnsi="Arial"/>
          <w:bCs/>
          <w:color w:val="auto"/>
          <w:spacing w:val="0"/>
          <w:w w:val="100"/>
          <w:sz w:val="20"/>
          <w:szCs w:val="20"/>
          <w:lang w:val="ro-RO"/>
        </w:rPr>
        <w:t>, angajatorul trebuie să organizeze unul sau mai multe servicii interne de prevenire și protecție.</w:t>
      </w:r>
    </w:p>
    <w:p>
      <w:pPr>
        <w:pStyle w:val="Normal"/>
        <w:widowControl/>
        <w:spacing w:before="0" w:after="120"/>
        <w:ind w:hanging="0"/>
        <w:jc w:val="left"/>
        <w:rPr>
          <w:rFonts w:ascii="Arial" w:hAnsi="Arial" w:cs="Arial"/>
          <w:i/>
          <w:sz w:val="18"/>
          <w:szCs w:val="18"/>
          <w:lang w:val="de-DE"/>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În cazul în care lucrătorii desemnați, serviciile interne de prevenire și protecție nu au capacitățile și aptitudinile necesare pentru efectuarea tuturor activităților de prevenire și protecție prevăzute la art. 15,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IV.IV. Organizarea activităților de prevenire și protecție </w:t>
      </w:r>
      <w:r>
        <w:rPr>
          <w:rStyle w:val="tal1"/>
          <w:rFonts w:eastAsia="Arial" w:cs="Arial" w:ascii="Arial" w:hAnsi="Arial"/>
          <w:b/>
          <w:bCs/>
          <w:color w:val="auto"/>
          <w:spacing w:val="0"/>
          <w:w w:val="100"/>
          <w:sz w:val="20"/>
          <w:szCs w:val="20"/>
          <w:lang w:val="ro-RO"/>
        </w:rPr>
        <w:t>în cazul întreprinderilor și/ sau unităților care au peste 250 de lucrători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19)</w:t>
      </w:r>
      <w:r>
        <w:rPr>
          <w:rFonts w:eastAsia="Arial" w:cs="Arial" w:ascii="Arial" w:hAnsi="Arial"/>
          <w:color w:val="auto"/>
          <w:spacing w:val="0"/>
          <w:w w:val="100"/>
          <w:sz w:val="20"/>
          <w:szCs w:val="20"/>
          <w:lang w:val="ro-RO"/>
        </w:rPr>
        <w:t xml:space="preserve"> </w:t>
      </w:r>
      <w:bookmarkEnd w:id="2"/>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 sau unităților care au peste 250 de lucrători, angajatorul trebuie să organizeze unul sau mai multe servicii interne de prevenire și protecție.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 cazul în care serviciile interne de prevenire și protecție nu au capacitățile și aptitudinile necesare pentru efectuarea tuturor activităților de prevenire și protecție prevăzute la art. 15, angajatorul trebuie să apeleze la unul sau mai multe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 Desemnarea lucrătorilor pentru activitățile de prevenire și protecție</w:t>
      </w:r>
      <w:r>
        <w:rPr>
          <w:rStyle w:val="tal1"/>
          <w:rFonts w:eastAsia="Arial" w:cs="Arial" w:ascii="Arial" w:hAnsi="Arial"/>
          <w:b/>
          <w:bCs/>
          <w:color w:val="auto"/>
          <w:spacing w:val="0"/>
          <w:w w:val="100"/>
          <w:sz w:val="20"/>
          <w:szCs w:val="20"/>
          <w:lang w:val="ro-RO"/>
        </w:rPr>
        <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Lucrători desemnați – Art. 20)</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Desemnarea nominală a lucrătorului/ lucrătorilor pentru a se ocupa de activitățile de prevenire și protecție se face prin decizie scrisă a angajatorului.</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Angajatorul va desemna lucrătorul numai din rândul lucrătorilor cu care are încheiat contract individual de muncă cu norma întreaga.</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Angajatorul va consemna în fișa postului activitățile de prevenire și protecție pe care lucrătorul desemnat are capacitatea, timpul necesar și mijloacele adecvate să le efectueze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 Lucrătorii desemnați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21)</w:t>
      </w:r>
      <w:r>
        <w:rPr>
          <w:rStyle w:val="tal1"/>
          <w:rFonts w:eastAsia="Arial" w:cs="Arial" w:ascii="Arial" w:hAnsi="Arial"/>
          <w:color w:val="auto"/>
          <w:spacing w:val="0"/>
          <w:w w:val="100"/>
          <w:sz w:val="20"/>
          <w:szCs w:val="20"/>
          <w:lang w:val="ro-RO"/>
        </w:rPr>
        <w:t xml:space="preserve"> </w:t>
      </w:r>
      <w:bookmarkStart w:id="3" w:name="do|caIII|si3|ar21|pa1"/>
      <w:bookmarkEnd w:id="3"/>
      <w:r>
        <w:rPr>
          <w:rStyle w:val="tpa1"/>
          <w:rFonts w:eastAsia="Arial" w:cs="Arial" w:ascii="Arial" w:hAnsi="Arial"/>
          <w:bCs/>
          <w:color w:val="auto"/>
          <w:spacing w:val="0"/>
          <w:w w:val="100"/>
          <w:sz w:val="20"/>
          <w:szCs w:val="20"/>
          <w:lang w:val="ro-RO"/>
        </w:rPr>
        <w:t>Pentru a putea să desfășoare activitățile de prevenire și protecție, lucrătorul desemnat trebuie să îndeplinească cel puțin cerințele minime de pregătire în domeniul securității și sănătății în muncă, potrivit prevederilor art. 49, sau prevederile Art. 51</w:t>
      </w:r>
      <w:r>
        <w:rPr>
          <w:rStyle w:val="tpa1"/>
          <w:rFonts w:eastAsia="Arial" w:cs="Arial" w:ascii="Arial" w:hAnsi="Arial"/>
          <w:bCs/>
          <w:color w:val="auto"/>
          <w:spacing w:val="0"/>
          <w:w w:val="100"/>
          <w:sz w:val="20"/>
          <w:szCs w:val="20"/>
          <w:vertAlign w:val="superscript"/>
          <w:lang w:val="ro-RO"/>
        </w:rPr>
        <w:t>1</w:t>
      </w:r>
      <w:r>
        <w:rPr>
          <w:rStyle w:val="tpa1"/>
          <w:rFonts w:eastAsia="Arial" w:cs="Arial" w:ascii="Arial" w:hAnsi="Arial"/>
          <w:bCs/>
          <w:color w:val="auto"/>
          <w:spacing w:val="0"/>
          <w:w w:val="100"/>
          <w:sz w:val="20"/>
          <w:szCs w:val="20"/>
          <w:lang w:val="ro-RO"/>
        </w:rPr>
        <w:t xml:space="preserve"> lit. a) H.G. 1425/ 2006.</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22)</w:t>
      </w:r>
      <w:r>
        <w:rPr>
          <w:rStyle w:val="tal1"/>
          <w:rFonts w:eastAsia="Arial" w:cs="Arial" w:ascii="Arial" w:hAnsi="Arial"/>
          <w:color w:val="auto"/>
          <w:spacing w:val="0"/>
          <w:w w:val="100"/>
          <w:sz w:val="20"/>
          <w:szCs w:val="20"/>
          <w:lang w:val="ro-RO"/>
        </w:rPr>
        <w:t xml:space="preserve"> </w:t>
      </w:r>
      <w:bookmarkStart w:id="4" w:name="do|caIII|si3|ar22|al1"/>
      <w:bookmarkEnd w:id="4"/>
      <w:r>
        <w:rPr>
          <w:rStyle w:val="al1"/>
          <w:rFonts w:eastAsia="Arial" w:cs="Arial" w:ascii="Arial" w:hAnsi="Arial"/>
          <w:color w:val="auto"/>
          <w:spacing w:val="0"/>
          <w:w w:val="100"/>
          <w:sz w:val="20"/>
          <w:szCs w:val="20"/>
          <w:lang w:val="ro-RO"/>
        </w:rPr>
        <w:t xml:space="preserve">(1) </w:t>
      </w:r>
      <w:r>
        <w:rPr>
          <w:rStyle w:val="tal1"/>
          <w:rFonts w:eastAsia="Arial" w:cs="Arial" w:ascii="Arial" w:hAnsi="Arial"/>
          <w:color w:val="auto"/>
          <w:spacing w:val="0"/>
          <w:w w:val="100"/>
          <w:sz w:val="20"/>
          <w:szCs w:val="20"/>
          <w:lang w:val="ro-RO"/>
        </w:rPr>
        <w:t>Angajatorul va stabili numărul de lucrători desemnați în funcție de mărimea întreprinderii și/ sau unității și/ sau riscurile la care sunt expuși lucrătorii, precum și de distribuția acestora în cadrul întreprinderii și/ sau unității.</w:t>
      </w:r>
    </w:p>
    <w:p>
      <w:pPr>
        <w:pStyle w:val="Normal"/>
        <w:widowControl/>
        <w:spacing w:before="0" w:after="120"/>
        <w:ind w:hanging="0"/>
        <w:jc w:val="left"/>
        <w:rPr>
          <w:rStyle w:val="tal1"/>
          <w:rFonts w:ascii="Arial" w:hAnsi="Arial" w:cs="Arial"/>
          <w:sz w:val="18"/>
          <w:szCs w:val="18"/>
          <w:lang w:val="it-IT"/>
        </w:rPr>
      </w:pPr>
      <w:bookmarkStart w:id="5" w:name="do|caIII|si3|ar22|al2"/>
      <w:bookmarkEnd w:id="5"/>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Angajatorul trebuie să asigure mijloacele adecvate și timpul necesar pentru ca lucrătorii desemnați să poată desfășura activitățile de prevenire și protecție conform fișei postului.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IV.VII. Servicii externe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28)</w:t>
      </w:r>
      <w:r>
        <w:rPr>
          <w:rStyle w:val="tal1"/>
          <w:rFonts w:eastAsia="Arial" w:cs="Arial" w:ascii="Arial" w:hAnsi="Arial"/>
          <w:color w:val="auto"/>
          <w:spacing w:val="0"/>
          <w:w w:val="100"/>
          <w:sz w:val="20"/>
          <w:szCs w:val="20"/>
          <w:lang w:val="ro-RO"/>
        </w:rPr>
        <w:t xml:space="preserve"> </w:t>
      </w:r>
      <w:bookmarkStart w:id="6" w:name="do|caIII|si5|ar28|pa1"/>
      <w:bookmarkEnd w:id="6"/>
      <w:r>
        <w:rPr>
          <w:rStyle w:val="tpa1"/>
          <w:rFonts w:eastAsia="Arial" w:cs="Arial" w:ascii="Arial" w:hAnsi="Arial"/>
          <w:color w:val="auto"/>
          <w:spacing w:val="0"/>
          <w:w w:val="100"/>
          <w:sz w:val="20"/>
          <w:szCs w:val="20"/>
          <w:lang w:val="ro-RO"/>
        </w:rPr>
        <w:t>Serviciul extern de prevenire și protecție asigură, pe bază de contract, activitățile de prevenire și protecție în domeniu.</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30)</w:t>
      </w:r>
      <w:r>
        <w:rPr>
          <w:rStyle w:val="tal1"/>
          <w:rFonts w:eastAsia="Arial" w:cs="Arial" w:ascii="Arial" w:hAnsi="Arial"/>
          <w:color w:val="auto"/>
          <w:spacing w:val="0"/>
          <w:w w:val="100"/>
          <w:sz w:val="20"/>
          <w:szCs w:val="20"/>
          <w:lang w:val="ro-RO"/>
        </w:rPr>
        <w:t xml:space="preserve"> </w:t>
      </w:r>
      <w:bookmarkStart w:id="7" w:name="do|caIII|si5|ar30|pa1"/>
      <w:bookmarkEnd w:id="7"/>
      <w:r>
        <w:rPr>
          <w:rStyle w:val="tpa1"/>
          <w:rFonts w:eastAsia="Arial" w:cs="Arial" w:ascii="Arial" w:hAnsi="Arial"/>
          <w:color w:val="auto"/>
          <w:spacing w:val="0"/>
          <w:w w:val="100"/>
          <w:sz w:val="20"/>
          <w:szCs w:val="20"/>
          <w:lang w:val="ro-RO"/>
        </w:rPr>
        <w:t>Serviciul extern trebuie să aibă acces la toate informațiile necesare desfășurării activității de prevenire și protecție.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33)</w:t>
      </w:r>
      <w:r>
        <w:rPr>
          <w:rStyle w:val="tal1"/>
          <w:rFonts w:eastAsia="Arial" w:cs="Arial" w:ascii="Arial" w:hAnsi="Arial"/>
          <w:color w:val="auto"/>
          <w:spacing w:val="0"/>
          <w:w w:val="100"/>
          <w:sz w:val="20"/>
          <w:szCs w:val="20"/>
          <w:lang w:val="ro-RO"/>
        </w:rPr>
        <w:t xml:space="preserve"> </w:t>
      </w:r>
      <w:bookmarkStart w:id="8" w:name="do|caIII|si5|ar33|pa1"/>
      <w:bookmarkEnd w:id="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Contractul încheiat între angajator și serviciul extern de prevenire și protecție trebuie să cuprindă și următoarele: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activitățile de prevenire și protecție care vor fi desfășurate de către fiecare serviciu extern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modul de colaborare cu lucrătorii desemnați/serviciile interne și/sau cu alte servicii externe de prevenire și protecție;</w:t>
      </w:r>
    </w:p>
    <w:p>
      <w:pPr>
        <w:pStyle w:val="Normal"/>
        <w:widowControl/>
        <w:numPr>
          <w:ilvl w:val="2"/>
          <w:numId w:val="9"/>
        </w:numPr>
        <w:spacing w:before="0" w:after="120"/>
        <w:jc w:val="left"/>
        <w:rPr>
          <w:rStyle w:val="tli1"/>
          <w:rFonts w:ascii="Arial" w:hAnsi="Arial" w:cs="Arial"/>
          <w:bCs/>
          <w:sz w:val="18"/>
          <w:szCs w:val="18"/>
          <w:lang w:val="fr-FR"/>
        </w:rPr>
      </w:pPr>
      <w:r>
        <w:rPr>
          <w:rStyle w:val="tli1"/>
          <w:rFonts w:eastAsia="Arial" w:cs="Arial" w:ascii="Arial" w:hAnsi="Arial"/>
          <w:bCs/>
          <w:color w:val="auto"/>
          <w:spacing w:val="0"/>
          <w:w w:val="100"/>
          <w:sz w:val="20"/>
          <w:szCs w:val="20"/>
          <w:lang w:val="ro-RO"/>
        </w:rPr>
        <w:t>clauze privind soluționarea litigiilor apărute între parti.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IV.VIII. </w:t>
      </w:r>
      <w:r>
        <w:rPr>
          <w:rStyle w:val="tpa1"/>
          <w:rFonts w:eastAsia="Arial" w:cs="Arial" w:ascii="Arial" w:hAnsi="Arial"/>
          <w:b/>
          <w:color w:val="auto"/>
          <w:spacing w:val="0"/>
          <w:w w:val="100"/>
          <w:sz w:val="20"/>
          <w:szCs w:val="20"/>
          <w:lang w:val="ro-RO"/>
        </w:rPr>
        <w:t>Reprezentanții lucrătorilor cu răspunderi specifice</w:t>
      </w:r>
    </w:p>
    <w:p>
      <w:pPr>
        <w:pStyle w:val="Normal"/>
        <w:widowControl/>
        <w:numPr>
          <w:ilvl w:val="0"/>
          <w:numId w:val="9"/>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1425/ 2006, Art. 52)</w:t>
      </w:r>
      <w:r>
        <w:rPr>
          <w:rStyle w:val="tal1"/>
          <w:rFonts w:eastAsia="Arial" w:cs="Arial" w:ascii="Arial" w:hAnsi="Arial"/>
          <w:color w:val="auto"/>
          <w:spacing w:val="0"/>
          <w:w w:val="100"/>
          <w:sz w:val="20"/>
          <w:szCs w:val="20"/>
          <w:lang w:val="ro-RO"/>
        </w:rPr>
        <w:t xml:space="preserve"> </w:t>
      </w:r>
      <w:bookmarkStart w:id="9" w:name="do|caIII|si9|ar52|pa1"/>
      <w:bookmarkEnd w:id="9"/>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definiți conform art. 5 lit. d) din legea 319/ 2006, sunt aleși de către și dintre lucrătorii din întreprindere și/sau unitate, conform celor stabilite prin contractul colectiv de muncă, regulamentul intern sau regulamentul de organizare și funcționare.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d)</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În sensul legii 319/ 2006, termenul de reprezentant al lucrătorilor cu răspunderi specifice în domeniul securității și sănătății lucrătorilor are următorul înțeles: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53)</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care se aleg, va fi stabilit prin contractul colectiv de muncă, regulamentul intern sau regulamentul de organizare și funcționare, în funcție de numărul total al lucrătorilor din întreprindere și/sau unitate.</w:t>
      </w:r>
    </w:p>
    <w:p>
      <w:pPr>
        <w:pStyle w:val="Normal"/>
        <w:keepNext/>
        <w:widowControl/>
        <w:spacing w:before="0" w:after="6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un reprezentant, în cazul întreprinderilor și/sau unităților care au între 10 și 49 de lucrători inclusiv;</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2 reprezentanți, în cazul întreprinderilor și/sau unităților care au între 50 și 100 de lucrători inclusiv;</w:t>
      </w:r>
    </w:p>
    <w:p>
      <w:pPr>
        <w:pStyle w:val="Normal"/>
        <w:widowControl/>
        <w:numPr>
          <w:ilvl w:val="2"/>
          <w:numId w:val="9"/>
        </w:numPr>
        <w:spacing w:before="0" w:after="12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 xml:space="preserve">conform cerințelor prevăzute la art. 60 alin. (3) din </w:t>
      </w:r>
      <w:r>
        <w:rPr>
          <w:rStyle w:val="tpa1"/>
          <w:rFonts w:eastAsia="Arial" w:cs="Arial" w:ascii="Arial" w:hAnsi="Arial"/>
          <w:bCs/>
          <w:color w:val="auto"/>
          <w:spacing w:val="0"/>
          <w:w w:val="100"/>
          <w:sz w:val="20"/>
          <w:szCs w:val="20"/>
          <w:lang w:val="ro-RO"/>
        </w:rPr>
        <w:t>H.G. 1425/ 2006</w:t>
      </w:r>
      <w:r>
        <w:rPr>
          <w:rStyle w:val="tli1"/>
          <w:rFonts w:eastAsia="Arial" w:cs="Arial" w:ascii="Arial" w:hAnsi="Arial"/>
          <w:bCs/>
          <w:color w:val="auto"/>
          <w:spacing w:val="0"/>
          <w:w w:val="100"/>
          <w:sz w:val="20"/>
          <w:szCs w:val="20"/>
          <w:lang w:val="ro-RO"/>
        </w:rPr>
        <w:t>, în cazul întreprinderilor și/ sau unităților care au peste 101 lucrători inclusiv.</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54)</w:t>
      </w:r>
      <w:r>
        <w:rPr>
          <w:rStyle w:val="tal1"/>
          <w:rFonts w:eastAsia="Arial" w:cs="Arial" w:ascii="Arial" w:hAnsi="Arial"/>
          <w:color w:val="auto"/>
          <w:spacing w:val="0"/>
          <w:w w:val="100"/>
          <w:sz w:val="20"/>
          <w:szCs w:val="20"/>
          <w:lang w:val="ro-RO"/>
        </w:rPr>
        <w:t xml:space="preserve"> </w:t>
      </w:r>
      <w:bookmarkStart w:id="10" w:name="do|caIII|si9|ar54|pa1"/>
      <w:bookmarkEnd w:id="10"/>
      <w:r>
        <w:rPr>
          <w:rStyle w:val="tpa1"/>
          <w:rFonts w:eastAsia="Arial" w:cs="Arial" w:ascii="Arial" w:hAnsi="Arial"/>
          <w:color w:val="auto"/>
          <w:spacing w:val="0"/>
          <w:w w:val="100"/>
          <w:sz w:val="20"/>
          <w:szCs w:val="20"/>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55)</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H.G. 1425/ 2006 anexa nr. 6 lit. A</w:t>
      </w:r>
      <w:r>
        <w:rPr>
          <w:rStyle w:val="tli1"/>
          <w:rFonts w:eastAsia="Arial" w:cs="Arial" w:ascii="Arial" w:hAnsi="Arial"/>
          <w:bCs/>
          <w:color w:val="auto"/>
          <w:spacing w:val="0"/>
          <w:w w:val="100"/>
          <w:sz w:val="20"/>
          <w:szCs w:val="20"/>
          <w:lang w:val="ro-RO"/>
        </w:rPr>
        <w:t xml:space="preserve"> din H.G. 1425/ 2006</w:t>
      </w:r>
      <w:r>
        <w:rPr>
          <w:rStyle w:val="tal1"/>
          <w:rFonts w:eastAsia="Arial" w:cs="Arial" w:ascii="Arial" w:hAnsi="Arial"/>
          <w:bCs/>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Îndeplinirea cerinței prevăzute la alin. (1) se atesta printr-un document de absolvire a programului de pregătire.</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Capitolul V. Informații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al modului de instruire al lucrătorilor.</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Angajatorul va asigura toate condițiile pentru ca fiecare lucrător să primească o instruire suficiența și adecvată în domeniul securității și sănătății în muncă, în special sub forma de informații și instrucțiuni de lucru, specifice locului de muncă și postului său:</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4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4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21, alin. 1, 2,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lucrătorilor în domeniul securității și sănătății în muncă se va efectua în timpul programului de lucru, fie în interiorul, fie în afara întreprinderii și/ sau unității.</w:t>
      </w:r>
    </w:p>
    <w:p>
      <w:pPr>
        <w:pStyle w:val="Heading1"/>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 Art. 75)</w:t>
      </w:r>
      <w:bookmarkStart w:id="11" w:name="do|caV|si1|ar75|pa1"/>
      <w:r>
        <w:rPr>
          <w:rFonts w:eastAsia="Arial" w:cs="Arial" w:ascii="Arial" w:hAnsi="Arial"/>
          <w:b w:val="false"/>
          <w:i/>
          <w:color w:val="auto"/>
          <w:spacing w:val="0"/>
          <w:w w:val="100"/>
          <w:sz w:val="20"/>
          <w:szCs w:val="20"/>
          <w:lang w:val="ro-RO"/>
        </w:rPr>
        <w:t xml:space="preserve"> </w:t>
      </w:r>
      <w:bookmarkEnd w:id="11"/>
      <w:r>
        <w:rPr>
          <w:rStyle w:val="tpa1"/>
          <w:rFonts w:eastAsia="Arial" w:cs="Arial" w:ascii="Arial" w:hAnsi="Arial"/>
          <w:b/>
          <w:color w:val="auto"/>
          <w:spacing w:val="0"/>
          <w:w w:val="100"/>
          <w:sz w:val="20"/>
          <w:szCs w:val="20"/>
          <w:lang w:val="ro-RO"/>
        </w:rPr>
        <w:t>Instruirea lucrătorilor în domeniul securității și sănătății în muncă are ca scop însușirea cunoștințelor și formarea deprinderilor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lucrătorilor în domeniul securității și sănătății în muncă cuprinde 3 faze:</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introductiv-generală;</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la locul de muncă;</w:t>
      </w:r>
    </w:p>
    <w:p>
      <w:pPr>
        <w:pStyle w:val="Normal"/>
        <w:widowControl/>
        <w:numPr>
          <w:ilvl w:val="2"/>
          <w:numId w:val="9"/>
        </w:numPr>
        <w:spacing w:before="0" w:after="12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periodică.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Fonts w:eastAsia="Arial" w:cs="Arial" w:ascii="Arial" w:hAnsi="Arial"/>
          <w:b w:val="false"/>
          <w:color w:val="auto"/>
          <w:spacing w:val="0"/>
          <w:w w:val="100"/>
          <w:sz w:val="20"/>
          <w:szCs w:val="20"/>
          <w:lang w:val="ro-RO"/>
        </w:rPr>
        <w:t>R</w:t>
      </w:r>
      <w:r>
        <w:rPr>
          <w:rStyle w:val="tal1"/>
          <w:rFonts w:eastAsia="Arial" w:cs="Arial" w:ascii="Arial" w:hAnsi="Arial"/>
          <w:b/>
          <w:color w:val="auto"/>
          <w:spacing w:val="0"/>
          <w:w w:val="100"/>
          <w:sz w:val="20"/>
          <w:szCs w:val="20"/>
          <w:lang w:val="ro-RO"/>
        </w:rPr>
        <w:t>ezultatul instruirii lucrătorilor în domeniul securității și sănătății în muncă se consemnează în mod obligatoriu în fișa de instruire individuală, cu indicarea materialului predat, a duratei și datei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cu pix cu pastă sau cu stilou, imediat după verificarea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individuală va fi păstrată de către conducătorul locului de muncă și va fi însoțită de o copie a fișei de aptitudini, completată de către medicul de medicina muncii în urma examenului medical la angajare.</w:t>
      </w:r>
    </w:p>
    <w:p>
      <w:pPr>
        <w:pStyle w:val="Heading1"/>
        <w:keepNext/>
        <w:widowControl/>
        <w:numPr>
          <w:ilvl w:val="0"/>
          <w:numId w:val="9"/>
        </w:numPr>
        <w:spacing w:before="120" w:after="60"/>
        <w:jc w:val="left"/>
        <w:rPr>
          <w:rStyle w:val="tli1"/>
          <w:b/>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 xml:space="preserve">nstruirea introductiv-generală se face de către specialiștii în domeniul securității și sănătății în muncă din cadrul </w:t>
      </w:r>
      <w:r>
        <w:rPr>
          <w:rStyle w:val="tli1"/>
          <w:rFonts w:eastAsia="Arial" w:cs="Arial" w:ascii="Arial" w:hAnsi="Arial"/>
          <w:b/>
          <w:color w:val="auto"/>
          <w:spacing w:val="0"/>
          <w:w w:val="100"/>
          <w:sz w:val="20"/>
          <w:szCs w:val="20"/>
          <w:lang w:val="ro-RO"/>
        </w:rPr>
        <w:t>serviciului extern de prevenire și protecție, activitate desfășurată prin contractul de prestări servicii sau dacă este posibil, și de către persoanele desemnate în acest sens prin decizie internă și prin fișa postului.</w:t>
      </w:r>
    </w:p>
    <w:p>
      <w:pPr>
        <w:pStyle w:val="Heading1"/>
        <w:keepNext/>
        <w:widowControl/>
        <w:numPr>
          <w:ilvl w:val="0"/>
          <w:numId w:val="9"/>
        </w:numPr>
        <w:spacing w:before="120" w:after="60"/>
        <w:jc w:val="left"/>
        <w:rPr>
          <w:rStyle w:val="tal1"/>
          <w:b/>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I</w:t>
      </w:r>
      <w:r>
        <w:rPr>
          <w:rStyle w:val="tpa1"/>
          <w:rFonts w:eastAsia="Arial" w:cs="Arial" w:ascii="Arial" w:hAnsi="Arial"/>
          <w:b/>
          <w:color w:val="auto"/>
          <w:spacing w:val="0"/>
          <w:w w:val="100"/>
          <w:sz w:val="20"/>
          <w:szCs w:val="20"/>
          <w:lang w:val="ro-RO"/>
        </w:rPr>
        <w:t>nstruirea introductiv-generală se face individual sau în grupuri de cel mult 20 de persoane.</w:t>
      </w:r>
    </w:p>
    <w:p>
      <w:pPr>
        <w:pStyle w:val="Heading1"/>
        <w:keepNext w:val="false"/>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și/sau al unității, în general.</w:t>
      </w:r>
    </w:p>
    <w:p>
      <w:pPr>
        <w:pStyle w:val="Heading1"/>
        <w:widowControl/>
        <w:numPr>
          <w:ilvl w:val="0"/>
          <w:numId w:val="1"/>
        </w:numPr>
        <w:spacing w:before="0" w:after="120"/>
        <w:ind w:hanging="0" w:left="0"/>
        <w:jc w:val="left"/>
        <w:rPr>
          <w:rStyle w:val="tal1"/>
          <w:rFonts w:cs="Arial"/>
          <w:b/>
          <w:sz w:val="18"/>
          <w:szCs w:val="18"/>
          <w:lang w:val="ro-RO"/>
        </w:rPr>
      </w:pPr>
      <w:r>
        <w:rPr>
          <w:rFonts w:eastAsia="Arial" w:cs="Arial" w:ascii="Arial" w:hAnsi="Arial"/>
          <w:b w:val="false"/>
          <w:i/>
          <w:color w:val="auto"/>
          <w:spacing w:val="0"/>
          <w:w w:val="100"/>
          <w:sz w:val="20"/>
          <w:szCs w:val="20"/>
          <w:shd w:fill="FFFFFF" w:val="clear"/>
          <w:lang w:val="ro-RO"/>
        </w:rPr>
        <w:t>(Preluare din H.G. 767/ 2016)</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lang w:val="ro-RO"/>
        </w:rPr>
        <w:t>La articolul 87, alineatul (3) se modifică și va avea următorul cuprins:</w:t>
      </w:r>
      <w:r>
        <w:rPr>
          <w:rFonts w:eastAsia="Arial" w:cs="Arial" w:ascii="Arial" w:hAnsi="Arial"/>
          <w:b w:val="false"/>
          <w:color w:val="auto"/>
          <w:spacing w:val="0"/>
          <w:w w:val="100"/>
          <w:sz w:val="20"/>
          <w:szCs w:val="20"/>
          <w:shd w:fill="FFFFFF" w:val="clear"/>
          <w:lang w:val="ro-RO"/>
        </w:rPr>
        <w:t xml:space="preserve"> Persoanele prevăzute la art. 82 din HG 1425/ 2006 li se vor prezenta succint activitățile, riscurile și măsurile de prevenire și protecție din întreprindere și/sau unitate.</w:t>
      </w:r>
    </w:p>
    <w:p>
      <w:pPr>
        <w:pStyle w:val="Heading1"/>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introductiv-generală este întocmit de către serviciul extern de prevenire și protecție și aprobat de către angajator </w:t>
      </w:r>
      <w:r>
        <w:rPr>
          <w:rFonts w:eastAsia="Arial" w:cs="Arial" w:ascii="Arial" w:hAnsi="Arial"/>
          <w:b w:val="false"/>
          <w:color w:val="auto"/>
          <w:spacing w:val="0"/>
          <w:w w:val="100"/>
          <w:sz w:val="20"/>
          <w:szCs w:val="20"/>
          <w:lang w:val="ro-RO"/>
        </w:rPr>
        <w:t>și are denumire de « Material de instruire în domeniul securității și sănătății în muncă pentru instruirea introductiv – generală », fiind codificat MISSMIG.</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12" w:name="do|caV|si3|ar91|al1"/>
      <w:bookmarkEnd w:id="12"/>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Instruirea la locul de muncă se face de către conducătorul direct al fiecărui loc de muncă, în grupe de maximum 20 de persoane.</w:t>
      </w:r>
    </w:p>
    <w:p>
      <w:pPr>
        <w:pStyle w:val="Normal"/>
        <w:widowControl/>
        <w:spacing w:before="0" w:after="120"/>
        <w:ind w:hanging="0"/>
        <w:jc w:val="left"/>
        <w:rPr>
          <w:rStyle w:val="tal1"/>
          <w:rFonts w:ascii="Arial" w:hAnsi="Arial" w:cs="Arial"/>
          <w:sz w:val="18"/>
          <w:szCs w:val="18"/>
          <w:lang w:val="fr-FR"/>
        </w:rPr>
      </w:pPr>
      <w:bookmarkStart w:id="13" w:name="do|caV|si3|ar91|al2"/>
      <w:bookmarkEnd w:id="13"/>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se păstrează de către conducătorul locului de muncă.</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Art. 92 - conf. H.G. 767/ 2016 pct.4)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Style w:val="spar"/>
          <w:rFonts w:eastAsia="Arial" w:cs="Arial" w:ascii="Arial" w:hAnsi="Arial"/>
          <w:b/>
          <w:color w:val="auto"/>
          <w:spacing w:val="0"/>
          <w:w w:val="100"/>
          <w:sz w:val="20"/>
          <w:szCs w:val="20"/>
          <w:shd w:fill="FFFFFF" w:val="clear"/>
          <w:lang w:val="ro-RO"/>
        </w:rPr>
        <w:t>urata instruirii la locul de muncă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keepNext/>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la locul de muncă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poarta denumire de « </w:t>
      </w:r>
      <w:r>
        <w:rPr>
          <w:rStyle w:val="tpt1"/>
          <w:rFonts w:eastAsia="Arial" w:cs="Arial" w:ascii="Arial" w:hAnsi="Arial"/>
          <w:b/>
          <w:color w:val="auto"/>
          <w:spacing w:val="0"/>
          <w:w w:val="100"/>
          <w:sz w:val="20"/>
          <w:szCs w:val="20"/>
          <w:lang w:val="ro-RO"/>
        </w:rPr>
        <w:t>Instrucțiuni proprii în domeniul securității și sănătății în muncă pentru locurile de muncă</w:t>
      </w:r>
      <w:r>
        <w:rPr>
          <w:rFonts w:eastAsia="Arial" w:cs="Arial" w:ascii="Arial" w:hAnsi="Arial"/>
          <w:b w:val="false"/>
          <w:color w:val="auto"/>
          <w:spacing w:val="0"/>
          <w:w w:val="100"/>
          <w:sz w:val="20"/>
          <w:szCs w:val="20"/>
          <w:lang w:val="ro-RO"/>
        </w:rPr>
        <w:t xml:space="preserve"> », fiind codificat IPSSM.</w:t>
      </w:r>
    </w:p>
    <w:p>
      <w:pPr>
        <w:pStyle w:val="Heading1"/>
        <w:keepNext w:val="false"/>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Fonts w:eastAsia="Arial" w:cs="Arial" w:ascii="Arial" w:hAnsi="Arial"/>
          <w:b w:val="false"/>
          <w:color w:val="auto"/>
          <w:spacing w:val="0"/>
          <w:w w:val="100"/>
          <w:sz w:val="20"/>
          <w:szCs w:val="20"/>
          <w:lang w:val="ro-RO"/>
        </w:rPr>
        <w:t>I</w:t>
      </w:r>
      <w:r>
        <w:rPr>
          <w:rStyle w:val="tal1"/>
          <w:rFonts w:eastAsia="Arial" w:cs="Arial" w:ascii="Arial" w:hAnsi="Arial"/>
          <w:b/>
          <w:color w:val="auto"/>
          <w:spacing w:val="0"/>
          <w:w w:val="100"/>
          <w:sz w:val="20"/>
          <w:szCs w:val="20"/>
          <w:lang w:val="ro-RO"/>
        </w:rPr>
        <w:t>nstruirea periodică se efectuează de către conducătorul locului de muncă.</w:t>
      </w:r>
    </w:p>
    <w:p>
      <w:pPr>
        <w:pStyle w:val="Heading1"/>
        <w:widowControl/>
        <w:numPr>
          <w:ilvl w:val="0"/>
          <w:numId w:val="1"/>
        </w:numPr>
        <w:spacing w:before="0" w:after="120"/>
        <w:ind w:hanging="0" w:left="0"/>
        <w:jc w:val="left"/>
        <w:rPr>
          <w:rStyle w:val="tal1"/>
          <w:b/>
          <w:sz w:val="18"/>
          <w:szCs w:val="18"/>
          <w:shd w:fill="FFFFFF" w:val="clear"/>
        </w:rPr>
      </w:pPr>
      <w:r>
        <w:rPr>
          <w:rFonts w:eastAsia="Arial" w:cs="Arial" w:ascii="Arial" w:hAnsi="Arial"/>
          <w:b w:val="false"/>
          <w:i/>
          <w:color w:val="auto"/>
          <w:spacing w:val="0"/>
          <w:w w:val="100"/>
          <w:sz w:val="20"/>
          <w:szCs w:val="20"/>
          <w:lang w:val="ro-RO"/>
        </w:rPr>
        <w:t>(Preluare din H.G. 767/ 2016, pct.5)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I</w:t>
      </w:r>
      <w:r>
        <w:rPr>
          <w:rFonts w:eastAsia="Arial" w:cs="Arial" w:ascii="Arial" w:hAnsi="Arial"/>
          <w:b w:val="false"/>
          <w:color w:val="auto"/>
          <w:spacing w:val="0"/>
          <w:w w:val="100"/>
          <w:sz w:val="20"/>
          <w:szCs w:val="20"/>
          <w:shd w:fill="FFFFFF" w:val="clear"/>
          <w:lang w:val="ro-RO"/>
        </w:rPr>
        <w:t>ntervalul dintre două instruiri periodice și periodicitatea verificării instruirii vor fi stabilite prin programul de instruire-testare elaborat la nivelul întreprinderii și/sau unității potrivit prevederilor art. 15 alin. (1) pct. 8, în funcție de condițiile locului de muncă și/sau postului de lucru.</w:t>
      </w:r>
    </w:p>
    <w:p>
      <w:pPr>
        <w:pStyle w:val="Heading1"/>
        <w:widowControl/>
        <w:numPr>
          <w:ilvl w:val="0"/>
          <w:numId w:val="9"/>
        </w:numPr>
        <w:spacing w:before="120" w:after="60"/>
        <w:jc w:val="left"/>
        <w:rPr>
          <w:b w:val="false"/>
          <w:i/>
          <w:sz w:val="18"/>
          <w:szCs w:val="18"/>
          <w:lang w:val="ro-RO"/>
        </w:rPr>
      </w:pPr>
      <w:r>
        <w:rPr>
          <w:rStyle w:val="tal1"/>
          <w:rFonts w:eastAsia="Arial" w:cs="Arial" w:ascii="Arial" w:hAnsi="Arial"/>
          <w:b/>
          <w:color w:val="auto"/>
          <w:spacing w:val="0"/>
          <w:w w:val="100"/>
          <w:sz w:val="20"/>
          <w:szCs w:val="20"/>
          <w:lang w:val="ro-RO"/>
        </w:rPr>
        <w:t>Instruirea la locul de muncă se va efectua pe baza tematicilor întocmite de către serviciul extern de prevenire și protecție și aprobate de către angajator, care vor fi păstrate la persoana care efectuează instruirea.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nstruirea periodică se face suplimentar celei programate în următoarele cazuri:</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2"/>
          <w:numId w:val="9"/>
        </w:numPr>
        <w:spacing w:before="0" w:after="40"/>
        <w:jc w:val="left"/>
        <w:rPr>
          <w:rFonts w:ascii="Arial" w:hAnsi="Arial" w:cs="Arial"/>
          <w:sz w:val="18"/>
          <w:szCs w:val="18"/>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2"/>
          <w:numId w:val="9"/>
        </w:numPr>
        <w:spacing w:before="0" w:after="120"/>
        <w:jc w:val="left"/>
        <w:rPr>
          <w:rFonts w:ascii="Arial" w:hAnsi="Arial" w:cs="Arial"/>
          <w:sz w:val="18"/>
          <w:szCs w:val="18"/>
          <w:lang w:val="it-IT"/>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D</w:t>
      </w:r>
      <w:r>
        <w:rPr>
          <w:rStyle w:val="spar"/>
          <w:rFonts w:eastAsia="Arial" w:cs="Arial" w:ascii="Arial" w:hAnsi="Arial"/>
          <w:b/>
          <w:color w:val="auto"/>
          <w:spacing w:val="0"/>
          <w:w w:val="100"/>
          <w:sz w:val="20"/>
          <w:szCs w:val="20"/>
          <w:shd w:fill="FFFFFF" w:val="clear"/>
          <w:lang w:val="ro-RO"/>
        </w:rPr>
        <w:t>urata instruirii periodice prevăzute la art. 98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Art. 100)</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 xml:space="preserve">nstruirea periodică suplimentară se va efectua pe baza tematicilor </w:t>
      </w:r>
      <w:r>
        <w:rPr>
          <w:rStyle w:val="tal1"/>
          <w:rFonts w:eastAsia="Arial" w:cs="Arial" w:ascii="Arial" w:hAnsi="Arial"/>
          <w:b/>
          <w:color w:val="auto"/>
          <w:spacing w:val="0"/>
          <w:w w:val="100"/>
          <w:sz w:val="20"/>
          <w:szCs w:val="20"/>
          <w:lang w:val="ro-RO"/>
        </w:rPr>
        <w:t>întocmite de către serviciul extern de prevenire și protecție și aprobate de către angajator</w:t>
      </w:r>
      <w:r>
        <w:rPr>
          <w:rStyle w:val="tpa1"/>
          <w:rFonts w:eastAsia="Arial" w:cs="Arial" w:ascii="Arial" w:hAnsi="Arial"/>
          <w:b/>
          <w:color w:val="auto"/>
          <w:spacing w:val="0"/>
          <w:w w:val="100"/>
          <w:sz w:val="20"/>
          <w:szCs w:val="20"/>
          <w:lang w:val="ro-RO"/>
        </w:rPr>
        <w:t xml:space="preserve"> care vor fi păstrate la persoana care efectuează instruirea.</w:t>
      </w:r>
    </w:p>
    <w:p>
      <w:pPr>
        <w:pStyle w:val="Heading1"/>
        <w:widowControl/>
        <w:numPr>
          <w:ilvl w:val="0"/>
          <w:numId w:val="9"/>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Ținând cont ca instruirea în domeniul securității și sănătății în muncă cuprinde 3 (trei) faze, instruirea introductive-generală, instruirea la locul de muncă și instruirea periodică, va fi întocmită o « </w:t>
      </w:r>
      <w:r>
        <w:rPr>
          <w:rStyle w:val="tpt1"/>
          <w:rFonts w:eastAsia="Arial" w:cs="Arial" w:ascii="Arial" w:hAnsi="Arial"/>
          <w:b/>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 TISSM.</w:t>
      </w:r>
    </w:p>
    <w:p>
      <w:pPr>
        <w:pStyle w:val="Normal"/>
        <w:widowControl/>
        <w:numPr>
          <w:ilvl w:val="0"/>
          <w:numId w:val="9"/>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în funcție de sarcinile de muncă desfășurată de executanți și va reieși din articolele prevăzute și specificate în tematica de instruire, articole din MISSMIG și IPSSM.</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Capitolul VI. Informații cu privire la comitetul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57)</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Comitetul de securitate și sănătate în muncă se constituie în unitățile care au un număr de cel puțin 50 de lucrători, inclusiv cu capital străin, care desfășoară activități pe teritoriul României.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Inspectorul de muncă poate impune constituirea comitetului de securitate și sănătate în muncă în unitățile cu un număr mai mic de 50 de lucrători în funcție de natura activității și de riscurile identificate.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cazul în care activitatea se desfășoară în unități dispersate teritorial, se pot înființa mai multe comitete de securitate și sănătate în muncă; numărul acestora se stabilește prin contractul colectiv de muncă aplicabil sau prin regulamentul intern ori regulamentul de organizare și funcționare.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Comitetul de securitate și sănătate în muncă se constituie și în cazul activităților care se desfășoară temporar, respectiv cu o durată mai mare de 3 luni.</w:t>
      </w:r>
    </w:p>
    <w:p>
      <w:pPr>
        <w:pStyle w:val="Normal"/>
        <w:widowControl/>
        <w:spacing w:before="0" w:after="120"/>
        <w:ind w:hanging="0"/>
        <w:jc w:val="left"/>
        <w:rPr>
          <w:rFonts w:ascii="Verdana" w:hAnsi="Verdana" w:cs="Verdana"/>
          <w:lang w:val="fr-FR"/>
        </w:rPr>
      </w:pPr>
      <w:r>
        <w:rPr>
          <w:rStyle w:val="al1"/>
          <w:rFonts w:eastAsia="Arial" w:cs="Arial" w:ascii="Arial" w:hAnsi="Arial"/>
          <w:color w:val="auto"/>
          <w:spacing w:val="0"/>
          <w:w w:val="100"/>
          <w:sz w:val="20"/>
          <w:szCs w:val="20"/>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unitățile care au mai puțin de 50 de lucrători, unde nu s-a constituit comitet de securitate și sănătate în muncă, atribuțiile acestuia revin reprezentanților lucrătorilor cu răspunderi specifice în domeniul securității și sănătății lucrătorilor.</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65)</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Comitetul de securitate și sănătate în muncă funcționează în baza regulamentului de funcționare propriu.</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Capitolul VII. Comunicarea, cercetarea, înregistrarea și raportarea evenimentelor, accidente de muncă și boli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0"/>
          <w:numId w:val="22"/>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0"/>
          <w:numId w:val="2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g)</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w:t>
      </w:r>
      <w:r>
        <w:rPr>
          <w:rFonts w:eastAsia="Arial" w:cs="Arial" w:ascii="Arial" w:hAnsi="Arial"/>
          <w:i/>
          <w:color w:val="auto"/>
          <w:spacing w:val="0"/>
          <w:w w:val="100"/>
          <w:sz w:val="20"/>
          <w:szCs w:val="20"/>
          <w:lang w:val="ro-RO"/>
        </w:rPr>
        <w:t xml:space="preserve">accident de muncă </w:t>
      </w:r>
      <w:r>
        <w:rPr>
          <w:rFonts w:eastAsia="Arial" w:cs="Arial" w:ascii="Arial" w:hAnsi="Arial"/>
          <w:color w:val="auto"/>
          <w:spacing w:val="0"/>
          <w:w w:val="100"/>
          <w:sz w:val="20"/>
          <w:szCs w:val="20"/>
          <w:lang w:val="ro-RO"/>
        </w:rPr>
        <w:t>are următorul înțeles: vătămarea violenta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h) În sensul legii 319/ 2006, termenul de boală profesională</w:t>
      </w:r>
      <w:r>
        <w:rPr>
          <w:rStyle w:val="tal1"/>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are următorul înțeles: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va fi comunicat de îndată angajatorului, de către conducătorul locului de muncă sau de orice altă persoană care are cunoștință despre producerea acestuia.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&lt;LLNK 12002 346 10 201 0 18&gt;</w:t>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0"/>
          <w:numId w:val="38"/>
        </w:numPr>
        <w:spacing w:before="0" w:after="120"/>
        <w:ind w:right="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medicina a muncii aflat într-o relație contractuală cu angajatorul, conform prevederilor legale, va semnala obligatoriu suspiciunea de boala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0"/>
          <w:numId w:val="3"/>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autoritățile de sănătate publică teritoriale, respectiv a municipiului București, în cazul suspiciunilor de boala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 aflate în vizita în întreprindere și/sau unitate, cu permisiunea angajatorului;</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persoanele care îndeplinesc sarcini de stat sau de interes public, inclusiv în cadrul unor activități culturale, sportive, în țara sau în afara granițelor țării, în timpul și din cauza îndeplinirii acestor sarcini;</w:t>
      </w:r>
    </w:p>
    <w:p>
      <w:pPr>
        <w:pStyle w:val="Normal"/>
        <w:widowControl/>
        <w:numPr>
          <w:ilvl w:val="0"/>
          <w:numId w:val="4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inițiativa pentru salvarea de vieți omenești;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inițiativa pentru prevenirea ori înlăturarea unui pericol care ameninta avutul public și privat;</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prelua sau preda uneltele de lucru, locul de muncă, utilajul ori materialele, dacă schimbă îmbrăcămintea personală, echipamentul individual de protecție sau orice alt echipament pus la dispoziție de angajator, dacă se află în baie ori în spălător sau dacă se deplasa de la locul de muncă la ieșirea din întreprindere sau unitate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lucrători ai angajatorilor romani sau de persoane fizice romane, delegați pentru îndeplinirea îndatoririlor de serviciu în afara granițelor țării, pe durată și traseul prevăzute în documentul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personalul roman care efectuează lucrări și servicii pe teritoriul altor tari, în baza unor contracte, convenții sau în alte condiții prevăzute de lege, încheiate de persoane juridice romane cu parteneri străini, în timpul și din cauza îndeplinirii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determinat de fenomene sau calamități naturale, cum ar fi furtuna, viscol, cutremur, inundație, alunecări de teren, trăsnet (electrocutare), dacă victima se află în timpul procesului de muncă sau în îndeplinirea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0"/>
          <w:numId w:val="4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Accidentele de muncă se clasifica, în raport cu urmările produse și cu numărul persoanelor accidentate, în:</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0"/>
          <w:numId w:val="2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Publica București, la Centrul de Calcul și Statistica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declara, se cercetează și se înregistrează atât ca boala profesională, cât și ca accident de muncă.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VIII. Evaluarea riscurilor de accidentare și/ sau îmbolnăvire profesională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15, alin. 3) </w:t>
      </w:r>
      <w:r>
        <w:rPr>
          <w:rStyle w:val="tal1"/>
          <w:rFonts w:eastAsia="Arial" w:cs="Arial" w:ascii="Arial" w:hAnsi="Arial"/>
          <w:b/>
          <w:bCs/>
          <w:color w:val="auto"/>
          <w:spacing w:val="0"/>
          <w:w w:val="100"/>
          <w:sz w:val="20"/>
          <w:szCs w:val="20"/>
          <w:lang w:val="ro-RO"/>
        </w:rPr>
        <w:t>Evaluarea riscurilor cu privire la securitatea și sănătatea în muncă la nivelul întreprinderii și/sau unității, inclusiv pentru grupurile sensibile la riscuri specifice, trebuie revizuită, cel puțin, în următoarele situații: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ori de câte ori intervin schimbări sau modificări în ceea ce privește tehnologia, echipamentele de muncă, substanțele ori preparatele chimice utilizate și amenajarea locurilor de muncă/posturilor de muncă;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după producerea unui eveniment;</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constatarea omiterii unor riscuri sau la apariția unor riscuri noi;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utilizarea postului de lucru de către un lucrător aparținând grupurilor sensibile la riscuri specifice;</w:t>
      </w:r>
    </w:p>
    <w:p>
      <w:pPr>
        <w:pStyle w:val="Normal"/>
        <w:widowControl/>
        <w:numPr>
          <w:ilvl w:val="2"/>
          <w:numId w:val="9"/>
        </w:numPr>
        <w:spacing w:before="0" w:after="120"/>
        <w:jc w:val="left"/>
        <w:rPr>
          <w:rFonts w:ascii="Arial" w:hAnsi="Arial" w:cs="Arial"/>
          <w:sz w:val="18"/>
          <w:szCs w:val="18"/>
          <w:lang w:val="es-ES_tradnl"/>
        </w:rPr>
      </w:pPr>
      <w:r>
        <w:rPr>
          <w:rStyle w:val="tli1"/>
          <w:rFonts w:eastAsia="Arial" w:cs="Arial" w:ascii="Arial" w:hAnsi="Arial"/>
          <w:bCs/>
          <w:color w:val="auto"/>
          <w:spacing w:val="0"/>
          <w:w w:val="100"/>
          <w:sz w:val="20"/>
          <w:szCs w:val="20"/>
          <w:lang w:val="ro-RO"/>
        </w:rPr>
        <w:t>la executarea unor lucrări speciale.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IX. Informații privind </w:t>
      </w:r>
      <w:r>
        <w:rPr>
          <w:rStyle w:val="tpt1"/>
          <w:rFonts w:eastAsia="Arial" w:cs="Arial" w:ascii="Arial" w:hAnsi="Arial"/>
          <w:b/>
          <w:color w:val="auto"/>
          <w:spacing w:val="0"/>
          <w:w w:val="100"/>
          <w:sz w:val="20"/>
          <w:szCs w:val="20"/>
          <w:lang w:val="ro-RO"/>
        </w:rPr>
        <w:t>necesarul, întocmirea și implementarea necesarului de documentații cu caracter tehnic de informare și instruire a lucrătorilor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Întocmirea unui necesar de documentații cu caracter tehnic de informare și instruire a lucrătorilor în domeniul securității și sănătății în muncă, </w:t>
      </w:r>
      <w:r>
        <w:rPr>
          <w:rFonts w:eastAsia="Arial" w:cs="Arial" w:ascii="Arial" w:hAnsi="Arial"/>
          <w:color w:val="auto"/>
          <w:spacing w:val="0"/>
          <w:w w:val="100"/>
          <w:sz w:val="20"/>
          <w:szCs w:val="20"/>
          <w:lang w:val="ro-RO"/>
        </w:rPr>
        <w:t>conform prevederilor H.G. 1425/ 2006, Art. 15, alin. 1, punctul 6, are ca scop oferirea de informații pentru ușurarea desfășurării activităților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Cerințele minime de securitate și sănătate în muncă oferă informații concrete, informații aplicabile în funcție de domeniile de activitate în care unitatea își desfășoară activitatea, conform tabelelor de mai jos (tabel 1, 2, 3), astfel:</w:t>
      </w:r>
    </w:p>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1. ACTE NORMATIVE ÎN DOMENIUL SECURITĂȚII ȘI SĂNĂTĂȚII ÎN MUNCĂ</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actului normativ</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actul normativ</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319/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1425/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Normele metodologice de aplicare a prevederilor Legii securității și sănătății în muncă nr. 319/ 2006</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261/ 2001</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Privind criteriile și metodologia de încadrare a locurilor de muncă în condiții deosebite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557/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Completarea măsurilor destinate să promoveze îmbunătățirea securității și sănătății la locul de muncă pentru salariații încadrați în baza unui contract individual de muncă pe durata determinată și pentru salariații temporari încadrați la agenți de muncă temporară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355/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Supravegherea sănătății lucrătorilor (MEDICINA MUNCII)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1876/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vibrații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300/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șantierele temporare sau mobile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493/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zgomot</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971/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semnalizarea de securitate și/sau de sănătate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1028/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în muncă referitoare la utilizarea echipamentelor cu ecran de vizualizare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de către lucrători a echipamentelor individuale de protecție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asigurarea securității și sănătății lucrătorilor din industria extractivă de suprafață și subteran</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manipularea manuală a maselor care prezintă riscuri pentru lucrători, în special de afecțiuni dorsolombare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îmbunătățirea securității și protecției sănătății lucrătorilor care pot fi expuși riscului datorat atmosferelor explozive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de securitate și sănătate pentru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1092/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lucrătorilor împotriva riscurilor legate de expunerea lor la agenți biologici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protecția lucrătorilor împotriva riscurilor legate de expunerea la agenți cancerigeni sau mutageni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1136/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câmpurile electromagnetice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1146/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în muncă de către lucrători a echipamentelor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1218/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asigurarea protecției lucrătorilor împotriva riscurilor legate de expunerea la agenți chimici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600/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tinerilor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1875/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sănătății și securității lucrătorilor față de riscurile datorate expunerii la azbest</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2. DOCUMENTE CU CARACTER INTERN DE INFORMARE</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document</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document</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Cărți tehnice</w:t>
            </w:r>
          </w:p>
        </w:tc>
        <w:tc>
          <w:tcPr>
            <w:tcW w:w="6549" w:type="dxa"/>
            <w:vMerge w:val="restart"/>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Toate informațiile necesare cu privire la modul de utilizare, depozitarea, întreținerea și mentenanta, specificații tehnice și principii de funcționare și a sistemelor de control și securitate, obligații și atenționări specifice, pentru a putea obține maximum de eficiență, performante ridicate și evitarea producerii de accidente cauzate de mijlocul de producție pentru fiecare echipament de muncă din dotarea unității.</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Manuale de utilizare</w:t>
            </w:r>
          </w:p>
        </w:tc>
        <w:tc>
          <w:tcPr>
            <w:tcW w:w="6549" w:type="dxa"/>
            <w:vMerge w:val="continue"/>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MISSMIG</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Material de instruire în domeniul securității și sănătății în muncă pentru instruirea introductiv – generală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IPSSM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Instrucțiuni proprii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TISSM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Tematica de instruire și programul de instruire – testare la nivelul unității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LN E.I.P.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Lista internă cu necesarul de dotare cu echipament individual de protecție (e.i.p.) a lucrătorilor</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EVR</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Evaluarea riscurilor de accidentare și / sau îmbolnăvire profesională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PPP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Planul de prevenire și protecție</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3. ALTE MATERIALE INFORMATIVE</w:t>
      </w:r>
    </w:p>
    <w:tbl>
      <w:tblPr>
        <w:tblW w:w="5000" w:type="pct"/>
        <w:jc w:val="left"/>
        <w:tblInd w:w="55" w:type="dxa"/>
        <w:tblLayout w:type="fixed"/>
        <w:tblCellMar>
          <w:top w:w="55" w:type="dxa"/>
          <w:left w:w="55" w:type="dxa"/>
          <w:bottom w:w="55" w:type="dxa"/>
          <w:right w:w="55" w:type="dxa"/>
        </w:tblCellMar>
      </w:tblPr>
      <w:tblGrid>
        <w:gridCol w:w="654"/>
        <w:gridCol w:w="2152"/>
        <w:gridCol w:w="1203"/>
        <w:gridCol w:w="980"/>
        <w:gridCol w:w="1203"/>
        <w:gridCol w:w="980"/>
        <w:gridCol w:w="1203"/>
        <w:gridCol w:w="980"/>
      </w:tblGrid>
      <w:tr>
        <w:trPr>
          <w:tblHeader w:val="true"/>
          <w:cantSplit/>
          <w:trHeight w:val="46" w:hRule="atLeast"/>
        </w:trPr>
        <w:tc>
          <w:tcPr>
            <w:tcW w:w="654" w:type="dxa"/>
            <w:tcBorders>
              <w:top w:val="single" w:sz="4" w:space="0" w:color="000000"/>
              <w:left w:val="single" w:sz="4" w:space="0" w:color="000000"/>
              <w:bottom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Nr. crt.</w:t>
            </w:r>
          </w:p>
        </w:tc>
        <w:tc>
          <w:tcPr>
            <w:tcW w:w="2152" w:type="dxa"/>
            <w:tcBorders>
              <w:top w:val="single" w:sz="4" w:space="0" w:color="000000"/>
              <w:left w:val="single" w:sz="4" w:space="0" w:color="000000"/>
              <w:bottom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Denumirea materialului informativ</w:t>
            </w:r>
          </w:p>
        </w:tc>
        <w:tc>
          <w:tcPr>
            <w:tcW w:w="6549" w:type="dxa"/>
            <w:gridSpan w:val="6"/>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Informații concrete oferite de materialul informativ</w:t>
            </w:r>
          </w:p>
        </w:tc>
      </w:tr>
      <w:tr>
        <w:trPr>
          <w:cantSplit/>
          <w:trHeight w:val="46" w:hRule="atLeast"/>
        </w:trPr>
        <w:tc>
          <w:tcPr>
            <w:tcW w:w="654" w:type="dxa"/>
            <w:vMerge w:val="restart"/>
            <w:tcBorders>
              <w:left w:val="single" w:sz="4" w:space="0" w:color="000000"/>
              <w:bottom w:val="single" w:sz="4" w:space="0" w:color="000000"/>
            </w:tcBorders>
            <w:vAlign w:val="center"/>
          </w:tcPr>
          <w:p>
            <w:pPr>
              <w:pStyle w:val="Normal"/>
              <w:keepNext w:val="true"/>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1.</w:t>
            </w:r>
          </w:p>
        </w:tc>
        <w:tc>
          <w:tcPr>
            <w:tcW w:w="2152" w:type="dxa"/>
            <w:vMerge w:val="restart"/>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STOC DE MIJLOACE DE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INTERZICERE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PERICOL</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PSI</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15925" cy="4159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AVERTIZARE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ATENȚIONARE</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52120" cy="39687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rcRect l="-15" t="-18" r="-15" b="-18"/>
                          <a:stretch>
                            <a:fillRect/>
                          </a:stretch>
                        </pic:blipFill>
                        <pic:spPr bwMode="auto">
                          <a:xfrm>
                            <a:off x="0" y="0"/>
                            <a:ext cx="452120" cy="39687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OBLIGATIVI</w:t>
              <w:softHyphen/>
              <w:t>TATE</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387985" cy="38798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rcRect l="-7" t="-7" r="-7" b="-7"/>
                          <a:stretch>
                            <a:fillRect/>
                          </a:stretch>
                        </pic:blipFill>
                        <pic:spPr bwMode="auto">
                          <a:xfrm>
                            <a:off x="0" y="0"/>
                            <a:ext cx="387985" cy="387985"/>
                          </a:xfrm>
                          <a:prstGeom prst="rect">
                            <a:avLst/>
                          </a:prstGeom>
                          <a:noFill/>
                        </pic:spPr>
                      </pic:pic>
                    </a:graphicData>
                  </a:graphic>
                </wp:inline>
              </w:drawing>
            </w:r>
          </w:p>
        </w:tc>
      </w:tr>
      <w:tr>
        <w:trPr>
          <w:cantSplit/>
          <w:trHeight w:val="46"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SALVARE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PRIM AJUTOR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29895" cy="42989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rcRect l="-15" t="-15" r="-15" b="-15"/>
                          <a:stretch>
                            <a:fillRect/>
                          </a:stretch>
                        </pic:blipFill>
                        <pic:spPr bwMode="auto">
                          <a:xfrm>
                            <a:off x="0" y="0"/>
                            <a:ext cx="429895" cy="42989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Style w:val="tsp1"/>
                <w:rFonts w:eastAsia="Arial" w:cs="Arial" w:ascii="Arial" w:hAnsi="Arial"/>
                <w:b/>
                <w:color w:val="auto"/>
                <w:spacing w:val="0"/>
                <w:w w:val="100"/>
                <w:sz w:val="14"/>
                <w:szCs w:val="20"/>
                <w:lang w:val="ro-RO"/>
              </w:rPr>
              <w:t>PREVENIREA ȘI STINGEREA INCENDIILOR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15925" cy="41592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BENZI DE MARCAJ OCAZIONAT</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524510" cy="31623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524510" cy="316230"/>
                          </a:xfrm>
                          <a:prstGeom prst="rect">
                            <a:avLst/>
                          </a:prstGeom>
                          <a:noFill/>
                          <a:ln w="6350">
                            <a:solidFill>
                              <a:srgbClr val="000000"/>
                            </a:solidFill>
                          </a:ln>
                        </pic:spPr>
                      </pic:pic>
                    </a:graphicData>
                  </a:graphic>
                </wp:inline>
              </w:drawing>
            </w:r>
          </w:p>
        </w:tc>
      </w:tr>
      <w:tr>
        <w:trPr>
          <w:cantSplit/>
          <w:trHeight w:val="53" w:hRule="atLeast"/>
        </w:trPr>
        <w:tc>
          <w:tcPr>
            <w:tcW w:w="654" w:type="dxa"/>
            <w:tcBorders>
              <w:left w:val="single" w:sz="4" w:space="0" w:color="000000"/>
              <w:bottom w:val="single" w:sz="4" w:space="0" w:color="000000"/>
            </w:tcBorders>
            <w:vAlign w:val="center"/>
          </w:tcPr>
          <w:p>
            <w:pPr>
              <w:pStyle w:val="Normal"/>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2.</w:t>
            </w:r>
          </w:p>
        </w:tc>
        <w:tc>
          <w:tcPr>
            <w:tcW w:w="2152"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PANOURI INFORMATIVE</w:t>
            </w:r>
          </w:p>
        </w:tc>
        <w:tc>
          <w:tcPr>
            <w:tcW w:w="6549" w:type="dxa"/>
            <w:gridSpan w:val="6"/>
            <w:tcBorders>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Se vor afișa panouri care vor informa cu privire la primul ajutor, stingerea incendiilor, măsuri de evacuare, instrucțiuni pentru echipamente de muncă, planuri de evacuare și alte informații utile în domeniul securității și sănătății în muncă și situații de urgență.</w:t>
            </w:r>
          </w:p>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Pentru informații mai precise privind modul de afișare, informațiile care trebuie afișate și cazurile în care este necesară afișarea de informații, angajatorul va solicita serviciului extern de prevenire și protecție pentru oferirea de informații specifice și clare cu privire la aceste activități.</w:t>
            </w:r>
          </w:p>
        </w:tc>
      </w:tr>
    </w:tbl>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 Informații privind </w:t>
      </w:r>
      <w:r>
        <w:rPr>
          <w:rStyle w:val="tpt1"/>
          <w:rFonts w:eastAsia="Arial" w:cs="Arial" w:ascii="Arial" w:hAnsi="Arial"/>
          <w:b/>
          <w:color w:val="auto"/>
          <w:spacing w:val="0"/>
          <w:w w:val="100"/>
          <w:sz w:val="20"/>
          <w:szCs w:val="20"/>
          <w:lang w:val="ro-RO"/>
        </w:rPr>
        <w:t>întocmirea fișei postului</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Obligații, atribuții și răspunderi în domeniul securității și sănătății în muncă (conform legii 319/2006 și H.G. 1425/ 2006), valabile pentru lucrători:</w:t>
      </w:r>
    </w:p>
    <w:p>
      <w:pPr>
        <w:pStyle w:val="Normal"/>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mod deosebit, pentru evitarea riscurilor de expună la pericol de accidentare sau îmbolnăvire profesională atât propria persoană, cât și alte persoane care pot fi afectate de acțiuni sau omisiuni sale timpul procesului de muncă, lucrătorii au următoarele obligații:</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ca mediul de muncă și condițiile de lucru sunt sigure și fără riscuri pentru securitate și sănătate, în domeniul său de activitate;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pentru o cooperare cu angajatorul și/ sau cu lucrătorii desemnați, lucrătorii au următoarele obligații:</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de la angajare în domeniul securității și sănătății în muncă (instruirea introductiv – generală, instruirea la locul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periodice în domeniul securității și sănătății în muncă (atunci când acestea sunt programate) după ce au fost informați în prealabil de către șeful ierarhic (șeful locului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suplimentare (reinstruiri) în domeniul securității și sănătății în muncă (atunci când acestea sunt programate) după ce au fost informați în prealabil de către șeful ierarhic (șeful locului de muncă);</w:t>
      </w:r>
    </w:p>
    <w:p>
      <w:pPr>
        <w:pStyle w:val="Normal"/>
        <w:widowControl/>
        <w:numPr>
          <w:ilvl w:val="0"/>
          <w:numId w:val="29"/>
        </w:numPr>
        <w:spacing w:before="0" w:after="12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Fiecare lucrător se va prezenta la cabinetul de medicina a muncii pentru </w:t>
      </w:r>
      <w:r>
        <w:rPr>
          <w:rFonts w:eastAsia="Arial" w:cs="Arial" w:ascii="Arial" w:hAnsi="Arial"/>
          <w:bCs/>
          <w:color w:val="auto"/>
          <w:spacing w:val="0"/>
          <w:w w:val="100"/>
          <w:sz w:val="20"/>
          <w:szCs w:val="20"/>
          <w:lang w:val="ro-RO"/>
        </w:rPr>
        <w:t xml:space="preserve">efectuarea la termenele stabilite de medicul de medicina muncii al unității, </w:t>
      </w:r>
      <w:r>
        <w:rPr>
          <w:rFonts w:eastAsia="Arial" w:cs="Arial" w:ascii="Arial" w:hAnsi="Arial"/>
          <w:color w:val="auto"/>
          <w:spacing w:val="0"/>
          <w:w w:val="100"/>
          <w:sz w:val="20"/>
          <w:szCs w:val="20"/>
          <w:lang w:val="ro-RO"/>
        </w:rPr>
        <w:t xml:space="preserve">controlul medical periodic sau, după caz, controlul psihologic periodic, datele medicale obținute fiind evidențiate în </w:t>
      </w:r>
      <w:r>
        <w:rPr>
          <w:rFonts w:eastAsia="Arial" w:cs="Arial" w:ascii="Arial" w:hAnsi="Arial"/>
          <w:b/>
          <w:bCs/>
          <w:color w:val="auto"/>
          <w:spacing w:val="0"/>
          <w:w w:val="100"/>
          <w:sz w:val="20"/>
          <w:szCs w:val="20"/>
          <w:lang w:val="ro-RO"/>
        </w:rPr>
        <w:t>« FIȘA DE APTITUDINE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 și soluționate prin parafa medicului de medicina muncii în « </w:t>
      </w:r>
      <w:r>
        <w:rPr>
          <w:rFonts w:eastAsia="Arial" w:cs="Arial" w:ascii="Arial" w:hAnsi="Arial"/>
          <w:b/>
          <w:bCs/>
          <w:color w:val="auto"/>
          <w:spacing w:val="0"/>
          <w:w w:val="100"/>
          <w:sz w:val="20"/>
          <w:szCs w:val="20"/>
          <w:lang w:val="ro-RO"/>
        </w:rPr>
        <w:t>FIȘA DE INSTRUIRE ÎN DOMENIUL SECURITĂȚII ȘI SĂNĂTĂȚII ÎN MUNCĂ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pentru anul în curs.</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situațiilor de urgență (conform legii 307/2006), valabile pentru lucrători: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persoana care observă un incendiu are obligația să anunțe prin orice mijloc serviciile de urgență, poliția și să ia măsuri, după posibilitățile sale, pentru limitarea și stingerea incendiului.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anunțul de incendiu s-a făcut cu rea-credință, fără motiv întemeiat, autorul răspunde contravențional sau penal, potrivit legii, și suportă cheltuielile ocazionate de deplasarea forțelor de intervenție.</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utilizatorul are următoarele obligații principale: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 sau importator;</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furnizeze persoanelor abilitate toate datele și informațiile de care are cunoștința, referitoare la producerea incendiilor.</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în scopul realizării obiectivelor prevăzute la art. 3, lit. a) și c) din prezenta anexa, lucrătorii au următoarele obligații:</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de la angajare în domeniul situațiilor de urgență (instruirea introductiv – generală, instruirea la locul de muncă);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situațiilor de urgență (atunci când acestea sunt programate) după ce au fost informați în prealabil de către șeful ierarhic (șeful locului de muncă);</w:t>
      </w:r>
    </w:p>
    <w:p>
      <w:pPr>
        <w:pStyle w:val="Normal"/>
        <w:widowControl/>
        <w:numPr>
          <w:ilvl w:val="0"/>
          <w:numId w:val="25"/>
        </w:numPr>
        <w:spacing w:before="0" w:after="120"/>
        <w:ind w:hanging="360" w:left="108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suplimentare în domeniul situațiilor de urgență (atunci când acestea sunt programate) după ce au fost informați în prealabil de către șeful ierarhic (șeful locului de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Obligațiile, atribuțiile și răspunderile în domeniul securității și sănătății în muncă (conform legii 319/ 2006 și H.G. 1425/ 2006), valabile pentru șefii locurilor de muncă vor fi aceleași cu ale lucrătorilor doar ca se va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situațiilor de urgență (conform legii 307/ 2006), valabile pentru șefii locurilor de muncă vor fi aceleași cu ale lucrătorilor doar ca se va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56)</w:t>
      </w:r>
      <w:r>
        <w:rPr>
          <w:rStyle w:val="tal1"/>
          <w:rFonts w:eastAsia="Arial" w:cs="Arial" w:ascii="Arial" w:hAnsi="Arial"/>
          <w:color w:val="auto"/>
          <w:spacing w:val="0"/>
          <w:w w:val="100"/>
          <w:sz w:val="20"/>
          <w:szCs w:val="20"/>
          <w:lang w:val="ro-RO"/>
        </w:rPr>
        <w:t xml:space="preserve"> </w:t>
      </w:r>
      <w:bookmarkStart w:id="14" w:name="do|caIII|si9|ar56|pa1"/>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w:t>
      </w:r>
      <w:r>
        <w:rPr>
          <w:rStyle w:val="tpt1"/>
          <w:rFonts w:eastAsia="Arial" w:cs="Arial" w:ascii="Arial" w:hAnsi="Arial"/>
          <w:color w:val="auto"/>
          <w:spacing w:val="0"/>
          <w:w w:val="100"/>
          <w:sz w:val="20"/>
          <w:szCs w:val="20"/>
          <w:lang w:val="ro-RO"/>
        </w:rPr>
        <w:t>vor fi suplimentate cu următoarea prevede</w:t>
      </w:r>
      <w:bookmarkEnd w:id="14"/>
      <w:r>
        <w:rPr>
          <w:rStyle w:val="tpt1"/>
          <w:rFonts w:eastAsia="Arial" w:cs="Arial" w:ascii="Arial" w:hAnsi="Arial"/>
          <w:color w:val="auto"/>
          <w:spacing w:val="0"/>
          <w:w w:val="100"/>
          <w:sz w:val="20"/>
          <w:szCs w:val="20"/>
          <w:lang w:val="ro-RO"/>
        </w:rPr>
        <w:t>ri</w:t>
      </w:r>
      <w:r>
        <w:rPr>
          <w:rStyle w:val="tpa1"/>
          <w:rFonts w:eastAsia="Arial" w:cs="Arial" w:ascii="Arial" w:hAnsi="Arial"/>
          <w:color w:val="auto"/>
          <w:spacing w:val="0"/>
          <w:w w:val="100"/>
          <w:sz w:val="20"/>
          <w:szCs w:val="20"/>
          <w:lang w:val="ro-RO"/>
        </w:rPr>
        <w:t>:</w:t>
      </w:r>
    </w:p>
    <w:p>
      <w:pPr>
        <w:pStyle w:val="Normal"/>
        <w:widowControl/>
        <w:numPr>
          <w:ilvl w:val="0"/>
          <w:numId w:val="33"/>
        </w:numPr>
        <w:spacing w:before="0" w:after="40"/>
        <w:jc w:val="left"/>
        <w:rPr>
          <w:rFonts w:ascii="Arial" w:hAnsi="Arial" w:cs="Arial"/>
          <w:sz w:val="18"/>
          <w:szCs w:val="18"/>
          <w:lang w:val="it-IT"/>
        </w:rPr>
      </w:pPr>
      <w:bookmarkStart w:id="15" w:name="do|caIII|si9|ar56|lia"/>
      <w:bookmarkEnd w:id="15"/>
      <w:r>
        <w:rPr>
          <w:rStyle w:val="tli1"/>
          <w:rFonts w:eastAsia="Arial" w:cs="Arial" w:ascii="Arial" w:hAnsi="Arial"/>
          <w:color w:val="auto"/>
          <w:spacing w:val="0"/>
          <w:w w:val="100"/>
          <w:sz w:val="20"/>
          <w:szCs w:val="20"/>
          <w:lang w:val="ro-RO"/>
        </w:rPr>
        <w:t>colaborează cu angajatorul pentru îmbunătățirea condițiilor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6" w:name="do|caIII|si9|ar56|lib"/>
      <w:bookmarkEnd w:id="16"/>
      <w:r>
        <w:rPr>
          <w:rStyle w:val="tli1"/>
          <w:rFonts w:eastAsia="Arial" w:cs="Arial" w:ascii="Arial" w:hAnsi="Arial"/>
          <w:color w:val="auto"/>
          <w:spacing w:val="0"/>
          <w:w w:val="100"/>
          <w:sz w:val="20"/>
          <w:szCs w:val="20"/>
          <w:lang w:val="ro-RO"/>
        </w:rPr>
        <w:t>însoțesc echipa/persoana care efectuează evaluarea riscurilor;</w:t>
      </w:r>
    </w:p>
    <w:p>
      <w:pPr>
        <w:pStyle w:val="Normal"/>
        <w:widowControl/>
        <w:numPr>
          <w:ilvl w:val="0"/>
          <w:numId w:val="33"/>
        </w:numPr>
        <w:spacing w:before="0" w:after="40"/>
        <w:jc w:val="left"/>
        <w:rPr>
          <w:rFonts w:ascii="Arial" w:hAnsi="Arial" w:cs="Arial"/>
          <w:sz w:val="18"/>
          <w:szCs w:val="18"/>
          <w:lang w:val="es-ES"/>
        </w:rPr>
      </w:pPr>
      <w:bookmarkStart w:id="17" w:name="do|caIII|si9|ar56|lic"/>
      <w:bookmarkEnd w:id="17"/>
      <w:r>
        <w:rPr>
          <w:rStyle w:val="tli1"/>
          <w:rFonts w:eastAsia="Arial" w:cs="Arial" w:ascii="Arial" w:hAnsi="Arial"/>
          <w:color w:val="auto"/>
          <w:spacing w:val="0"/>
          <w:w w:val="100"/>
          <w:sz w:val="20"/>
          <w:szCs w:val="20"/>
          <w:lang w:val="ro-RO"/>
        </w:rPr>
        <w:t>ajută lucrătorii să conștientizeze necesitatea aplicării măsurilor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8" w:name="do|caIII|si9|ar56|lid"/>
      <w:bookmarkEnd w:id="18"/>
      <w:r>
        <w:rPr>
          <w:rStyle w:val="tli1"/>
          <w:rFonts w:eastAsia="Arial" w:cs="Arial" w:ascii="Arial" w:hAnsi="Arial"/>
          <w:color w:val="auto"/>
          <w:spacing w:val="0"/>
          <w:w w:val="100"/>
          <w:sz w:val="20"/>
          <w:szCs w:val="20"/>
          <w:lang w:val="ro-RO"/>
        </w:rPr>
        <w:t>aduc la cunoștință angajatorului sau comitetului de securitate și sănătate în muncă propunerile lucrătorilor referitoare la îmbunătățirea condițiilor de muncă;</w:t>
      </w:r>
    </w:p>
    <w:p>
      <w:pPr>
        <w:pStyle w:val="Normal"/>
        <w:widowControl/>
        <w:numPr>
          <w:ilvl w:val="0"/>
          <w:numId w:val="33"/>
        </w:numPr>
        <w:spacing w:before="0" w:after="40"/>
        <w:jc w:val="left"/>
        <w:rPr>
          <w:rFonts w:ascii="Arial" w:hAnsi="Arial" w:cs="Arial"/>
          <w:sz w:val="18"/>
          <w:szCs w:val="18"/>
          <w:lang w:val="es-ES"/>
        </w:rPr>
      </w:pPr>
      <w:bookmarkStart w:id="19" w:name="do|caIII|si9|ar56|lie"/>
      <w:bookmarkEnd w:id="19"/>
      <w:r>
        <w:rPr>
          <w:rStyle w:val="tli1"/>
          <w:rFonts w:eastAsia="Arial" w:cs="Arial" w:ascii="Arial" w:hAnsi="Arial"/>
          <w:color w:val="auto"/>
          <w:spacing w:val="0"/>
          <w:w w:val="100"/>
          <w:sz w:val="20"/>
          <w:szCs w:val="20"/>
          <w:lang w:val="ro-RO"/>
        </w:rPr>
        <w:t>urmăresc realizarea măsurilor din planul de prevenire și protecție;</w:t>
      </w:r>
    </w:p>
    <w:p>
      <w:pPr>
        <w:pStyle w:val="Normal"/>
        <w:widowControl/>
        <w:numPr>
          <w:ilvl w:val="0"/>
          <w:numId w:val="33"/>
        </w:numPr>
        <w:spacing w:before="0" w:after="120"/>
        <w:jc w:val="left"/>
        <w:rPr>
          <w:rStyle w:val="tli1"/>
          <w:rFonts w:ascii="Arial" w:hAnsi="Arial" w:cs="Arial"/>
          <w:sz w:val="18"/>
          <w:szCs w:val="18"/>
          <w:lang w:val="es-ES"/>
        </w:rPr>
      </w:pPr>
      <w:bookmarkStart w:id="20" w:name="do|caIII|si9|ar56|lif"/>
      <w:bookmarkEnd w:id="20"/>
      <w:r>
        <w:rPr>
          <w:rStyle w:val="tli1"/>
          <w:rFonts w:eastAsia="Arial" w:cs="Arial" w:ascii="Arial" w:hAnsi="Arial"/>
          <w:color w:val="auto"/>
          <w:spacing w:val="0"/>
          <w:w w:val="100"/>
          <w:sz w:val="20"/>
          <w:szCs w:val="20"/>
          <w:lang w:val="ro-RO"/>
        </w:rPr>
        <w:t>informează autoritățile competente asupra nerespectării prevederilor legale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56)</w:t>
      </w:r>
      <w:r>
        <w:rPr>
          <w:rStyle w:val="tal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Lucrătorii desemnați </w:t>
      </w:r>
      <w:r>
        <w:rPr>
          <w:rStyle w:val="tpt1"/>
          <w:rFonts w:eastAsia="Arial" w:cs="Arial" w:ascii="Arial" w:hAnsi="Arial"/>
          <w:color w:val="auto"/>
          <w:spacing w:val="0"/>
          <w:w w:val="100"/>
          <w:sz w:val="20"/>
          <w:szCs w:val="20"/>
          <w:lang w:val="ro-RO"/>
        </w:rPr>
        <w:t>vor fi suplimentate cu următoarea prevederi (aceste atribuții vor fi stabilite de comun acord între lucrătorul desemnat și angajator)</w:t>
      </w:r>
      <w:r>
        <w:rPr>
          <w:rStyle w:val="tpa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1" w:name="do|caIII|si2|ar15|al1|pt1"/>
      <w:bookmarkEnd w:id="21"/>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0"/>
          <w:numId w:val="23"/>
        </w:numPr>
        <w:spacing w:before="0" w:after="40"/>
        <w:jc w:val="left"/>
        <w:rPr>
          <w:rFonts w:ascii="Arial" w:hAnsi="Arial" w:cs="Arial"/>
          <w:sz w:val="18"/>
          <w:szCs w:val="18"/>
          <w:lang w:val="ro-RO"/>
        </w:rPr>
      </w:pPr>
      <w:bookmarkStart w:id="22" w:name="do|caIII|si2|ar15|al1|pt2"/>
      <w:bookmarkEnd w:id="22"/>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3" w:name="do|caIII|si2|ar15|al1|pt3"/>
      <w:bookmarkEnd w:id="23"/>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4" w:name="do|caIII|si2|ar15|al1|pt4"/>
      <w:bookmarkEnd w:id="24"/>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0"/>
          <w:numId w:val="23"/>
        </w:numPr>
        <w:spacing w:before="0" w:after="40"/>
        <w:jc w:val="left"/>
        <w:rPr>
          <w:rFonts w:ascii="Arial" w:hAnsi="Arial" w:cs="Arial"/>
          <w:sz w:val="18"/>
          <w:szCs w:val="18"/>
          <w:lang w:val="ro-RO"/>
        </w:rPr>
      </w:pPr>
      <w:bookmarkStart w:id="25" w:name="do|caIII|si2|ar15|al1|pt5"/>
      <w:bookmarkEnd w:id="25"/>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6" w:name="do|caIII|si2|ar15|al1|pt6"/>
      <w:bookmarkEnd w:id="26"/>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0"/>
          <w:numId w:val="23"/>
        </w:numPr>
        <w:spacing w:before="0" w:after="40"/>
        <w:jc w:val="left"/>
        <w:rPr>
          <w:rFonts w:ascii="Arial" w:hAnsi="Arial" w:cs="Arial"/>
          <w:sz w:val="18"/>
          <w:szCs w:val="18"/>
          <w:lang w:val="ro-RO"/>
        </w:rPr>
      </w:pPr>
      <w:bookmarkStart w:id="27" w:name="do|caIII|si2|ar15|al1|pt7"/>
      <w:bookmarkEnd w:id="27"/>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8" w:name="do|caIII|si2|ar15|al1|pt8"/>
      <w:bookmarkEnd w:id="28"/>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0"/>
          <w:numId w:val="23"/>
        </w:numPr>
        <w:spacing w:before="0" w:after="40"/>
        <w:jc w:val="left"/>
        <w:rPr>
          <w:rFonts w:ascii="Arial" w:hAnsi="Arial" w:cs="Arial"/>
          <w:sz w:val="18"/>
          <w:szCs w:val="18"/>
          <w:lang w:val="ro-RO"/>
        </w:rPr>
      </w:pPr>
      <w:bookmarkStart w:id="29" w:name="do|caIII|si2|ar15|al1|pt9"/>
      <w:bookmarkEnd w:id="29"/>
      <w:r>
        <w:rPr>
          <w:rStyle w:val="tpt1"/>
          <w:rFonts w:eastAsia="Arial" w:cs="Arial" w:ascii="Arial" w:hAnsi="Arial"/>
          <w:color w:val="auto"/>
          <w:spacing w:val="0"/>
          <w:w w:val="100"/>
          <w:sz w:val="20"/>
          <w:szCs w:val="20"/>
          <w:lang w:val="ro-RO"/>
        </w:rPr>
        <w:t>asigurarea întocmirii planului de acțiune în caz de pericol grav și iminent, și asigurarea ca toți lucrătorii să fie instruiți pentru aplicarea lui;</w:t>
      </w:r>
    </w:p>
    <w:p>
      <w:pPr>
        <w:pStyle w:val="Normal"/>
        <w:widowControl/>
        <w:numPr>
          <w:ilvl w:val="0"/>
          <w:numId w:val="23"/>
        </w:numPr>
        <w:spacing w:before="0" w:after="40"/>
        <w:jc w:val="left"/>
        <w:rPr>
          <w:rFonts w:ascii="Arial" w:hAnsi="Arial" w:cs="Arial"/>
          <w:sz w:val="18"/>
          <w:szCs w:val="18"/>
          <w:lang w:val="it-CH"/>
        </w:rPr>
      </w:pPr>
      <w:bookmarkStart w:id="30" w:name="do|caIII|si2|ar15|al1|pt10"/>
      <w:bookmarkEnd w:id="30"/>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0"/>
          <w:numId w:val="23"/>
        </w:numPr>
        <w:spacing w:before="0" w:after="40"/>
        <w:jc w:val="left"/>
        <w:rPr>
          <w:rFonts w:ascii="Arial" w:hAnsi="Arial" w:cs="Arial"/>
          <w:sz w:val="18"/>
          <w:szCs w:val="18"/>
          <w:lang w:val="fr-FR"/>
        </w:rPr>
      </w:pPr>
      <w:bookmarkStart w:id="31" w:name="do|caIII|si2|ar15|al1|pt11"/>
      <w:bookmarkEnd w:id="31"/>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0"/>
          <w:numId w:val="23"/>
        </w:numPr>
        <w:spacing w:before="0" w:after="40"/>
        <w:jc w:val="left"/>
        <w:rPr>
          <w:rFonts w:ascii="Arial" w:hAnsi="Arial" w:cs="Arial"/>
          <w:b/>
          <w:sz w:val="18"/>
          <w:szCs w:val="18"/>
          <w:lang w:val="pt-PT"/>
        </w:rPr>
      </w:pPr>
      <w:bookmarkStart w:id="32" w:name="do|caIII|si2|ar15|al1|pt12"/>
      <w:bookmarkEnd w:id="32"/>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3" w:name="do|caIII|si2|ar15|al1|pt13"/>
      <w:bookmarkEnd w:id="33"/>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4" w:name="do|caIII|si2|ar15|al1|pt14"/>
      <w:bookmarkEnd w:id="34"/>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0"/>
          <w:numId w:val="23"/>
        </w:numPr>
        <w:spacing w:before="0" w:after="40"/>
        <w:jc w:val="left"/>
        <w:rPr>
          <w:rFonts w:ascii="Arial" w:hAnsi="Arial" w:cs="Arial"/>
          <w:sz w:val="18"/>
          <w:szCs w:val="18"/>
          <w:lang w:val="pt-PT"/>
        </w:rPr>
      </w:pPr>
      <w:bookmarkStart w:id="35" w:name="do|caIII|si2|ar15|al1|pt15"/>
      <w:bookmarkEnd w:id="35"/>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0"/>
          <w:numId w:val="23"/>
        </w:numPr>
        <w:spacing w:before="0" w:after="40"/>
        <w:jc w:val="left"/>
        <w:rPr>
          <w:rFonts w:ascii="Arial" w:hAnsi="Arial" w:cs="Arial"/>
          <w:sz w:val="18"/>
          <w:szCs w:val="18"/>
          <w:lang w:val="pt-PT"/>
        </w:rPr>
      </w:pPr>
      <w:bookmarkStart w:id="36" w:name="do|caIII|si2|ar15|al1|pt16"/>
      <w:bookmarkEnd w:id="36"/>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0"/>
          <w:numId w:val="23"/>
        </w:numPr>
        <w:spacing w:before="0" w:after="40"/>
        <w:jc w:val="left"/>
        <w:rPr>
          <w:rFonts w:ascii="Arial" w:hAnsi="Arial" w:cs="Arial"/>
          <w:sz w:val="18"/>
          <w:szCs w:val="18"/>
          <w:lang w:val="pt-PT"/>
        </w:rPr>
      </w:pPr>
      <w:bookmarkStart w:id="37" w:name="do|caIII|si2|ar15|al1|pt17"/>
      <w:bookmarkEnd w:id="37"/>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8" w:name="do|caIII|si2|ar15|al1|pt18"/>
      <w:bookmarkEnd w:id="38"/>
      <w:r>
        <w:rPr>
          <w:rStyle w:val="tpt1"/>
          <w:rFonts w:eastAsia="Arial" w:cs="Arial" w:ascii="Arial" w:hAnsi="Arial"/>
          <w:color w:val="auto"/>
          <w:spacing w:val="0"/>
          <w:w w:val="100"/>
          <w:sz w:val="20"/>
          <w:szCs w:val="20"/>
          <w:lang w:val="ro-RO"/>
        </w:rPr>
        <w:t>întocmirea rapoartelor și/ sau a listelor prevăzute de hotărârile Guvernului emise în temeiul, inclusiv cele referitoare la azbest, vibrații, zgomot și șantiere temporare și mobile;</w:t>
      </w:r>
    </w:p>
    <w:p>
      <w:pPr>
        <w:pStyle w:val="Normal"/>
        <w:widowControl/>
        <w:numPr>
          <w:ilvl w:val="0"/>
          <w:numId w:val="23"/>
        </w:numPr>
        <w:spacing w:before="0" w:after="40"/>
        <w:jc w:val="left"/>
        <w:rPr>
          <w:rFonts w:ascii="Arial" w:hAnsi="Arial" w:cs="Arial"/>
          <w:sz w:val="18"/>
          <w:szCs w:val="18"/>
          <w:lang w:val="pt-PT"/>
        </w:rPr>
      </w:pPr>
      <w:bookmarkStart w:id="39" w:name="do|caIII|si2|ar15|al1|pt19"/>
      <w:bookmarkEnd w:id="39"/>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0"/>
          <w:numId w:val="23"/>
        </w:numPr>
        <w:spacing w:before="0" w:after="40"/>
        <w:jc w:val="left"/>
        <w:rPr>
          <w:rFonts w:ascii="Arial" w:hAnsi="Arial" w:cs="Arial"/>
          <w:sz w:val="18"/>
          <w:szCs w:val="18"/>
          <w:lang w:val="pt-PT"/>
        </w:rPr>
      </w:pPr>
      <w:bookmarkStart w:id="40" w:name="do|caIII|si2|ar15|al1|pt20"/>
      <w:bookmarkEnd w:id="40"/>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lang w:val="pt-PT"/>
        </w:rPr>
      </w:pPr>
      <w:bookmarkStart w:id="41" w:name="do|caIII|si2|ar15|al1|pt21"/>
      <w:bookmarkEnd w:id="41"/>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rPr>
      </w:pPr>
      <w:bookmarkStart w:id="42" w:name="do|caIII|si2|ar15|al1|pt22"/>
      <w:bookmarkEnd w:id="42"/>
      <w:r>
        <w:rPr>
          <w:rStyle w:val="tpt1"/>
          <w:rFonts w:eastAsia="Arial" w:cs="Arial" w:ascii="Arial" w:hAnsi="Arial"/>
          <w:color w:val="auto"/>
          <w:spacing w:val="0"/>
          <w:w w:val="100"/>
          <w:sz w:val="20"/>
          <w:szCs w:val="20"/>
          <w:lang w:val="ro-RO"/>
        </w:rPr>
        <w:t>participarea la cercetarea evenimentelor;</w:t>
      </w:r>
    </w:p>
    <w:p>
      <w:pPr>
        <w:pStyle w:val="Normal"/>
        <w:widowControl/>
        <w:numPr>
          <w:ilvl w:val="0"/>
          <w:numId w:val="23"/>
        </w:numPr>
        <w:spacing w:before="0" w:after="40"/>
        <w:jc w:val="left"/>
        <w:rPr>
          <w:rFonts w:ascii="Arial" w:hAnsi="Arial" w:cs="Arial"/>
          <w:sz w:val="18"/>
          <w:szCs w:val="18"/>
        </w:rPr>
      </w:pPr>
      <w:bookmarkStart w:id="43" w:name="do|caIII|si2|ar15|al1|pt23"/>
      <w:bookmarkEnd w:id="43"/>
      <w:r>
        <w:rPr>
          <w:rStyle w:val="tpt1"/>
          <w:rFonts w:eastAsia="Arial" w:cs="Arial" w:ascii="Arial" w:hAnsi="Arial"/>
          <w:color w:val="auto"/>
          <w:spacing w:val="0"/>
          <w:w w:val="100"/>
          <w:sz w:val="20"/>
          <w:szCs w:val="20"/>
          <w:lang w:val="ro-RO"/>
        </w:rPr>
        <w:t>întocmirea evidențelor;</w:t>
      </w:r>
    </w:p>
    <w:p>
      <w:pPr>
        <w:pStyle w:val="Normal"/>
        <w:widowControl/>
        <w:numPr>
          <w:ilvl w:val="0"/>
          <w:numId w:val="23"/>
        </w:numPr>
        <w:spacing w:before="0" w:after="40"/>
        <w:jc w:val="left"/>
        <w:rPr>
          <w:rFonts w:ascii="Arial" w:hAnsi="Arial" w:cs="Arial"/>
          <w:sz w:val="18"/>
          <w:szCs w:val="18"/>
          <w:lang w:val="it-IT"/>
        </w:rPr>
      </w:pPr>
      <w:bookmarkStart w:id="44" w:name="do|caIII|si2|ar15|al1|pt24"/>
      <w:bookmarkEnd w:id="44"/>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 319/ 2006</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45" w:name="do|caIII|si2|ar15|al1|pt25"/>
      <w:bookmarkEnd w:id="45"/>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0"/>
          <w:numId w:val="23"/>
        </w:numPr>
        <w:spacing w:before="0" w:after="40"/>
        <w:jc w:val="left"/>
        <w:rPr>
          <w:rFonts w:ascii="Arial" w:hAnsi="Arial" w:cs="Arial"/>
          <w:sz w:val="18"/>
          <w:szCs w:val="18"/>
          <w:lang w:val="pt-PT"/>
        </w:rPr>
      </w:pPr>
      <w:bookmarkStart w:id="46" w:name="do|caIII|si2|ar15|al1|pt26"/>
      <w:bookmarkEnd w:id="46"/>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0"/>
          <w:numId w:val="23"/>
        </w:numPr>
        <w:spacing w:before="0" w:after="40"/>
        <w:jc w:val="left"/>
        <w:rPr>
          <w:rFonts w:ascii="Arial" w:hAnsi="Arial" w:cs="Arial"/>
          <w:sz w:val="18"/>
          <w:szCs w:val="18"/>
          <w:lang w:val="pt-PT"/>
        </w:rPr>
      </w:pPr>
      <w:bookmarkStart w:id="47" w:name="do|caIII|si2|ar15|al1|pt27"/>
      <w:bookmarkEnd w:id="47"/>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0"/>
          <w:numId w:val="23"/>
        </w:numPr>
        <w:spacing w:before="0" w:after="40"/>
        <w:jc w:val="left"/>
        <w:rPr>
          <w:rFonts w:ascii="Arial" w:hAnsi="Arial" w:cs="Arial"/>
          <w:sz w:val="18"/>
          <w:szCs w:val="18"/>
          <w:lang w:val="pt-PT"/>
        </w:rPr>
      </w:pPr>
      <w:bookmarkStart w:id="48" w:name="do|caIII|si2|ar15|al1|pt28"/>
      <w:bookmarkEnd w:id="48"/>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0"/>
          <w:numId w:val="23"/>
        </w:numPr>
        <w:spacing w:before="0" w:after="40"/>
        <w:jc w:val="left"/>
        <w:rPr>
          <w:rFonts w:ascii="Arial" w:hAnsi="Arial" w:cs="Arial"/>
          <w:sz w:val="18"/>
          <w:szCs w:val="18"/>
          <w:lang w:val="pt-PT"/>
        </w:rPr>
      </w:pPr>
      <w:bookmarkStart w:id="49" w:name="do|caIII|si2|ar15|al1|pt29"/>
      <w:bookmarkEnd w:id="49"/>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50" w:name="do|caIII|si2|ar15|al1|pt30"/>
      <w:bookmarkEnd w:id="50"/>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0"/>
          <w:numId w:val="23"/>
        </w:numPr>
        <w:spacing w:before="0" w:after="40"/>
        <w:jc w:val="left"/>
        <w:rPr>
          <w:rStyle w:val="tpt1"/>
          <w:rFonts w:ascii="Arial" w:hAnsi="Arial" w:cs="Arial"/>
          <w:sz w:val="18"/>
          <w:szCs w:val="18"/>
          <w:lang w:val="es-ES_tradnl"/>
        </w:rPr>
      </w:pPr>
      <w:bookmarkStart w:id="51" w:name="do|caIII|si2|ar15|al1|pt31"/>
      <w:bookmarkEnd w:id="51"/>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0"/>
          <w:numId w:val="23"/>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0"/>
          <w:numId w:val="23"/>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 specifice asigurării securității și sănătății lucrătorilor la locul de muncă.</w:t>
      </w:r>
    </w:p>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XI. Informații privind </w:t>
      </w:r>
      <w:r>
        <w:rPr>
          <w:rStyle w:val="tpt1"/>
          <w:rFonts w:eastAsia="Arial" w:cs="Arial" w:ascii="Arial" w:hAnsi="Arial"/>
          <w:b/>
          <w:color w:val="auto"/>
          <w:spacing w:val="0"/>
          <w:w w:val="100"/>
          <w:sz w:val="20"/>
          <w:szCs w:val="20"/>
          <w:lang w:val="ro-RO"/>
        </w:rPr>
        <w:t>întocmirea regulamentului intern</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Sănătate și securitate în muncă, medicina muncii, situații de urgență și igiena muncii</w:t>
      </w:r>
      <w:r>
        <w:rPr>
          <w:rFonts w:eastAsia="Arial" w:cs="Arial" w:ascii="Arial" w:hAnsi="Arial"/>
          <w:color w:val="auto"/>
          <w:spacing w:val="0"/>
          <w:w w:val="100"/>
          <w:sz w:val="20"/>
          <w:szCs w:val="20"/>
          <w:lang w:val="ro-RO"/>
        </w:rPr>
        <w:t>:</w:t>
      </w:r>
    </w:p>
    <w:p>
      <w:pPr>
        <w:pStyle w:val="BodyTextIndent"/>
        <w:widowControl/>
        <w:numPr>
          <w:ilvl w:val="0"/>
          <w:numId w:val="7"/>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Angajatorul are obligația potrivit Legii 319/2006 să ia toate măsurile necesare pentru protejarea vieții și sănătății salariaților, pentru prevenirea riscurilor profesionale, pentru informarea și pregătirea lucrătorilor cu privire la aceste riscuri, organizarea securității și sănătății în muncă și a mijloacelor necesare acesteia.</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Măsurile privind securitatea și sănătatea în muncă nu pot să determine obligații financiare pentru lucrători.</w:t>
      </w:r>
    </w:p>
    <w:p>
      <w:pPr>
        <w:pStyle w:val="Normal"/>
        <w:keepNext/>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Instrucțiunile proprii și normativele interne de securitate și sănătate a muncii stabilesc:</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măsuri interne de securitate și sănătate a muncii pentru prevenirea accidentelor de muncă și a bolilor profesionale aplicabile tuturor lucrătorilor;</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echipamentul de lucru și de protecție pe meserii și posturi de lucru.</w:t>
      </w:r>
    </w:p>
    <w:p>
      <w:pPr>
        <w:pStyle w:val="Heading4"/>
        <w:widowControl/>
        <w:numPr>
          <w:ilvl w:val="0"/>
          <w:numId w:val="7"/>
        </w:numPr>
        <w:spacing w:before="0" w:after="40"/>
        <w:ind w:right="0"/>
        <w:jc w:val="left"/>
        <w:rPr>
          <w:rFonts w:ascii="Arial" w:hAnsi="Arial" w:cs="Arial"/>
          <w:b w:val="false"/>
          <w:bCs/>
          <w:sz w:val="18"/>
          <w:szCs w:val="18"/>
          <w:lang w:val="it-IT"/>
        </w:rPr>
      </w:pPr>
      <w:r>
        <w:rPr>
          <w:rFonts w:eastAsia="Arial" w:cs="Arial" w:ascii="Arial" w:hAnsi="Arial"/>
          <w:b w:val="false"/>
          <w:bCs/>
          <w:color w:val="auto"/>
          <w:spacing w:val="0"/>
          <w:w w:val="100"/>
          <w:sz w:val="20"/>
          <w:szCs w:val="20"/>
          <w:lang w:val="ro-RO"/>
        </w:rPr>
        <w:t>Angajatorul are următoarele obligații în domeniul securității și sănătății muncii:</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asigure evaluarea riscurilor pentru securitatea și sănătatea lucrătorilor în vedea stabilirii măsurilor de prevenire, incluzând echipamentul și amenajarea locului de muncă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dispună evaluarea riscurilor de accidentare și îmbolnăvire profesională pentru toate locurile de muncă;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solicite autorizarea funcționării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din punct de vedere al securității muncii, să mențină condițiile de lucru pentru care s-a obținut autorizație și să ceara revizuirea acesteia în cazul modificării condițiilor inițiale pentru care a fost emisa;</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stabilească măsurile tehnice și organizatorice de securitate a muncii, corespunzător condițiilor de muncă și factorilor de risc evaluați la locurile de muncă, pentru asigurarea securității și sănătății angajaților.</w:t>
      </w:r>
    </w:p>
    <w:p>
      <w:pPr>
        <w:pStyle w:val="Normal"/>
        <w:keepNext/>
        <w:widowControl/>
        <w:numPr>
          <w:ilvl w:val="0"/>
          <w:numId w:val="44"/>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ă asigure instruirea lucrătorilor în domeniul securității și sănătății în muncă. Aceasta este obligatorie pentru următoarele situații: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lucrătorii nou angajați;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lucrătorii care își schimbă locul de muncă sau felul muncii sau își reia activitatea după o întrerupere mai mare de 6 luni;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 terți;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studenți în practică.</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În toate aceste situații instruirea se realizează înainte de începerea efectivă a activității.</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Instruirea lucrătorilor este obligatorie și în situația în care intervin modificări ale legislației în domeniu, se introduce aparatura noua în domeniul tehnicii de calcul sau alte domenii noi de activitate în cadrul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sau se schimbă procesul tehnologic.</w:t>
      </w:r>
    </w:p>
    <w:p>
      <w:pPr>
        <w:pStyle w:val="Normal"/>
        <w:keepNext/>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Astfel lucrătorul desemnat sau serviciul extern va trebui să: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stabilească în fișa postului atribuțiile și răspunderea angajaților în domeniul securității muncii, corespunzător funcțiilor exercitate;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elaboreze instrucțiuni proprii de securitatea a muncii, care să detalieze și să particularizeze normele specifice securității și sănătății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asigure și să controleze, prin personal propriu cunoașterea și aplicarea de către toți angajații a măsurilor tehnice și organizatorice stabilite, precum și a prevederilor legale în domeniul securității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asigure pentru angajații cu contract de muncă pe durata determinată același nivel de protecție de care beneficiază ceilalți angajați ai unității;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ia măsuri pentru asigurarea de materiale necesare informării și educării angajaților: afișe, filme, cărți, broșuri, pliante, acte normative, manuale, teste, fișe tehnice de securitate etc;</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asigure informarea fiecărei persoane, anterior angajării, asupra riscurilor la care acesta va fi expus, precum și asupra măsurilor tehnice și organizatorice de prevenire necesare;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asigure măsurile necesare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inclusive cele referitoare la primul ajutor, prevenirea și stingerea incendiilor și evacuarea în caz de urgență;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angajeze numai persoane care, în urma controlului medical și al verificării aptitudinilor psihoprofesionale, corespund sarcinilor de muncă pe care urmează să le efectueze;</w:t>
      </w:r>
    </w:p>
    <w:p>
      <w:pPr>
        <w:pStyle w:val="Normal"/>
        <w:keepNext/>
        <w:widowControl/>
        <w:numPr>
          <w:ilvl w:val="0"/>
          <w:numId w:val="10"/>
        </w:numPr>
        <w:spacing w:before="0" w:after="120"/>
        <w:ind w:hanging="360" w:left="1080"/>
        <w:jc w:val="left"/>
        <w:rPr>
          <w:rFonts w:ascii="Arial" w:hAnsi="Arial" w:cs="Arial"/>
          <w:sz w:val="18"/>
          <w:szCs w:val="18"/>
          <w:lang w:val="ro-RO"/>
        </w:rPr>
      </w:pPr>
      <w:r>
        <w:rPr>
          <w:rFonts w:eastAsia="Arial" w:cs="Arial" w:ascii="Arial" w:hAnsi="Arial"/>
          <w:bCs/>
          <w:color w:val="auto"/>
          <w:spacing w:val="0"/>
          <w:w w:val="100"/>
          <w:sz w:val="20"/>
          <w:szCs w:val="20"/>
          <w:lang w:val="ro-RO"/>
        </w:rPr>
        <w:t>să asigure efectuare și plata contravalorii:</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examenului medical la angajarea în muncă;</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controlului medical periodic;</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Aceste examene și controale medicale se vor efectua potrivit reglementărilor legale.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ia măsurile necesare informării compartimentului de securitate a muncii sau lucrătorului desemnat despre angajații care au relatii de muncă cu durata determinată sau cu caracter interimar, pentru ca aceștia să fie incluși în programul de activitate care are ca scop asigurarea condițiilor de securitate și sănătate în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asigure ca sunt consultați angajații și/sau reprezentanții lor în problemele referitoare la măsurile și consecințele privind securitatea și sănătatea în muncă la introducerea de noi tehnologii, alegerea echipamentului tehnic, îmbunătățirea condițiilor și mediului de muncă, la desemnarea persoanelor cu atribuții privind primul ajutor, prevenirea și stingerea incendiilor, evacuarea angajaților, precum și la modul de desfășurare a activității de prevenire și protecție împotriva riscurilor profesionale, inclusiv a celei de instruire în domeniu;</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asigure periodic sau ori de câte ori este cazul, verificarea încadrării nivelului noxelor în limitele admise, prin măsurători efectuate de către organismele abilitate(dacă este cazul);</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comunice, cerceteze, înregistreze, declare și să tina evidența accidentelor de muncă, a bolilor profesionale, a accidentelor tehnice și avariilor;</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către inspectorii de muncă în timpul controlului sau cercetării accidentelor de muncă;</w:t>
      </w:r>
    </w:p>
    <w:p>
      <w:pPr>
        <w:pStyle w:val="Normal"/>
        <w:widowControl/>
        <w:numPr>
          <w:ilvl w:val="0"/>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asigure realizarea măsurilor stabilite de inspectorii de muncă, cu ocazia controalelor și accidentelor de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asigure echipamentul de lucru și protecție conform normativelor interne aprobate.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anunțe imediat producerea de avarii tehnice, evenimente, accidente de muncă sau îmbolnăviri profesionale la inspectoratul teritorial de muncă și organele de urmărire penale competente, potrivit legii;</w:t>
      </w:r>
    </w:p>
    <w:p>
      <w:pPr>
        <w:pStyle w:val="Normal"/>
        <w:widowControl/>
        <w:numPr>
          <w:ilvl w:val="0"/>
          <w:numId w:val="4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w:t>
      </w:r>
      <w:r>
        <w:rPr>
          <w:rFonts w:eastAsia="Arial" w:cs="Arial" w:ascii="Arial" w:hAnsi="Arial"/>
          <w:bCs/>
          <w:color w:val="auto"/>
          <w:spacing w:val="0"/>
          <w:w w:val="100"/>
          <w:sz w:val="20"/>
          <w:szCs w:val="20"/>
          <w:lang w:val="ro-RO"/>
        </w:rPr>
        <w:t>în cazul în care temperaturile atmosferice sau cele din spațiul de lucru sunt ridicate și pot afecta sănătatea (peste 30</w:t>
      </w:r>
      <w:r>
        <w:rPr>
          <w:rFonts w:eastAsia="Arial" w:cs="Arial" w:ascii="Arial" w:hAnsi="Arial"/>
          <w:bCs/>
          <w:color w:val="auto"/>
          <w:spacing w:val="0"/>
          <w:w w:val="100"/>
          <w:sz w:val="20"/>
          <w:szCs w:val="20"/>
          <w:vertAlign w:val="superscript"/>
          <w:lang w:val="ro-RO"/>
        </w:rPr>
        <w:t>0</w:t>
      </w:r>
      <w:r>
        <w:rPr>
          <w:rFonts w:eastAsia="Arial" w:cs="Arial" w:ascii="Arial" w:hAnsi="Arial"/>
          <w:bCs/>
          <w:color w:val="auto"/>
          <w:spacing w:val="0"/>
          <w:w w:val="100"/>
          <w:sz w:val="20"/>
          <w:szCs w:val="20"/>
          <w:lang w:val="ro-RO"/>
        </w:rPr>
        <w:t>C), în funcție de posibilități, aer condiționat sau ventilație. În cazul în care acest lucru nu este posibil se va asigura un litru de apa minerală pe zi pentru fiecare salariat și/sau în raport cu timpul lucrat.</w:t>
      </w:r>
    </w:p>
    <w:p>
      <w:pPr>
        <w:pStyle w:val="Normal"/>
        <w:widowControl/>
        <w:numPr>
          <w:ilvl w:val="0"/>
          <w:numId w:val="40"/>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să întocmească evidența nominală a angajaților cu handicap și a celor cu vârsta sub 18 ani.</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asigure securitatea și sănătatea în muncă a salariatelor gravide și/sau mame, lăuze sau care alăptează conform OUG nr 96/2003 privind protecția maternității la locurile de muncă conform prevederilor capitolului 12</w:t>
      </w:r>
    </w:p>
    <w:p>
      <w:pPr>
        <w:pStyle w:val="Normal"/>
        <w:keepNext/>
        <w:widowControl/>
        <w:numPr>
          <w:ilvl w:val="0"/>
          <w:numId w:val="7"/>
        </w:numPr>
        <w:spacing w:before="0" w:after="40"/>
        <w:ind w:right="-96"/>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Medicul de medicina</w:t>
      </w:r>
      <w:r>
        <w:rPr>
          <w:rFonts w:eastAsia="Arial" w:cs="Arial" w:ascii="Arial" w:hAnsi="Arial"/>
          <w:color w:val="auto"/>
          <w:spacing w:val="0"/>
          <w:w w:val="100"/>
          <w:sz w:val="20"/>
          <w:szCs w:val="20"/>
          <w:lang w:val="ro-RO"/>
        </w:rPr>
        <w:t xml:space="preserve"> muncii ce prestează aceste servicii pentru angajații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are următoarele atribuții profesionale:</w:t>
      </w:r>
    </w:p>
    <w:p>
      <w:pPr>
        <w:pStyle w:val="Normal"/>
        <w:widowControl/>
        <w:numPr>
          <w:ilvl w:val="0"/>
          <w:numId w:val="30"/>
        </w:numPr>
        <w:spacing w:before="0" w:after="40"/>
        <w:ind w:hanging="360" w:left="1080" w:right="-96"/>
        <w:jc w:val="left"/>
        <w:rPr>
          <w:rFonts w:ascii="Arial" w:hAnsi="Arial" w:cs="Arial"/>
          <w:sz w:val="18"/>
          <w:szCs w:val="18"/>
          <w:lang w:val="fr-FR"/>
        </w:rPr>
      </w:pPr>
      <w:r>
        <w:rPr>
          <w:rFonts w:eastAsia="Arial" w:cs="Arial" w:ascii="Arial" w:hAnsi="Arial"/>
          <w:color w:val="auto"/>
          <w:spacing w:val="0"/>
          <w:w w:val="100"/>
          <w:sz w:val="20"/>
          <w:szCs w:val="20"/>
          <w:lang w:val="ro-RO"/>
        </w:rPr>
        <w:t>să participe la evaluarea riscurilor privind îmbolnăvirilor</w:t>
      </w:r>
    </w:p>
    <w:p>
      <w:pPr>
        <w:pStyle w:val="Normal"/>
        <w:keepNext/>
        <w:widowControl/>
        <w:numPr>
          <w:ilvl w:val="0"/>
          <w:numId w:val="3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monitorizeze starea de sănătate a angajaților prin:</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examene medicale la angajarea în muncă;</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de adaptare;</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control medical periodic;</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la reluarea activității;</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îndrume activitatea de reabilitare profesională, reconversia profesională, reorientarea profesională în caz de accident de muncă, boală profesională, boală legată de profesie sau după afecțiuni cronice;</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existența riscului de îmbolnăvire profesională către toți factorii implicați în procesul muncii;</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privind adaptarea muncii și a locului de muncă la caracteristicile psihofiziologice ale angajaților;</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pentru fundamentarea strategiei de securitate și sănătate la locul de muncă;</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participe la sistemul informațional național privind accidentele de muncă și bolile profesionale.</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Pentru asigurarea atribuțiilor ce revin structurilor medicale de medicina muncii, angajatorul vor lua următoarele măsuri:</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angajarea lucrătorilor numai după un examen medical prealabil, cu confirmarea scrisă a medicului de medicina muncii că locul de muncă sau meseria propusă nu este contraindicată din punct de vedere medical viitorului angajat;</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programarea, cu acordul personalului medical, a controlului medical periodic al lucrătorilor, potrivit reglementărilor tehnice ale Ministerului Sănătății Publice, și urmărirea efectuării integrale a acestuia;</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respectarea recomandărilor medicale rezultate în urma examenelor la angajare, a controalelor medicale de adaptare și periodice și a examenului medical la reluarea activității.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Angajatorii nu au dreptul să intervină prin nici un mijloc în influențarea activității medicale, a conținutului acesteia, a concluziilor și măsurilor medicale stabilite.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Medicul de medicină a muncii ce prestează servicii pentru angajații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organizează primul ajutor și tratamentul de urgență și instruiește lucrătorii cu privire la aplicarea metodelor accesibile lor de prim ajutor și a procedurilor de urgență în cazul accidentelor de muncă.</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Angajatorul va cere medicului de medicină a muncii să evaluează aptitudinea pentru muncă în relație cu starea de sănătate și să propună adaptarea muncii la posibilitățile lucrătorilor, asigurând:</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evaluarea handicapului în relație cu munca;</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managementul clinic în procesul de recuperare a capacității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aplicarea principiilor ergonomiei în procesul de reabilitare;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colaborarea cu specialistul în psihologia muncii în vederea reabilitării angajaților cu probleme de sănătate mentală datorate unor factori aferenți procesului muncii și relațiilor interumane de la locul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măsurile adecvate privind sănătatea și securitatea în muncă a angajaților cu probleme speciale legate de utilizarea de droguri și consumul de alcool;</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în probleme de reabilitare și reangajare;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cu privire la menținerea în muncă a angajaților vârstnici și a celor cu dizabilități;</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promovarea capacității de muncă, a sănătății, îndemânării și antrenamentului în relație cu cerințele muncii.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medicină a muncii consiliază angajatorul asupra unei bune adaptări a muncii la posibilitățile angajatului în circumstanțele speciale ale unor grupuri vulnerabile: femei gravide, mame în perioada de alăptare, adolescenți, vârstnici și persoane cu handicap.</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medicina muncii și medicul cu competență de medicină a muncii sunt obligați să prezinte comitetului de securitate și sănătate în muncă, rapoarte scrise cu privire la situația stării de sănătate a angajaților în relație cu condițiile de muncă și riscurile profesionale, la acțiunile medicale întreprinse și eficiența acestora.</w:t>
      </w:r>
    </w:p>
    <w:p>
      <w:pPr>
        <w:pStyle w:val="normal1"/>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Înregistrările medicale vor fi păstrate o perioadă cel puțin egală cu durata medie de expunere-afectare a sănătății pentru fiecare categorie de risc profesional, astfel: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serviciul de medicina muncii va păstra dosarul medical individual;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angajatorul va păstra sinteza examinărilor medicale;</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angajatul va păstra concluzia examinării medicale;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vederea respectării cerințelor privind asigurarea serviciului medical de medicină a muncii lucrătorii care lucrează în cadrul societății sunt obligați să efectueze un examen medical periodic ce are ca scop:</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confirmarea sau infirmarea aptitudinii în muncă pentru profesia/funcția și locul de muncă pentru care s-a făcut angajarea.</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diagnosticarea bolilor profesionale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diagnosticarea bolilor legate de profesie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depistarea bolilor care ar constitui risc pentru viață și sănătatea celorlalți angajați la același loc de muncă depistarea bolilor care ar constitui risc pentru securitatea unității, pentru calitatea produselor sau pentru populația cu care angajatul vine în contact prin natura activității sale</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Pregătirea și instruirea în domeniul securității și sănătății muncii și situațiilor de urgență are ca scop însușirea cunoștințelor și formarea deprinderilor de securitate și sănătate în muncă și situațiilor de urgență.</w:t>
      </w:r>
    </w:p>
    <w:p>
      <w:pPr>
        <w:pStyle w:val="Normal"/>
        <w:keepNext/>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privind sănătatea și securitatea muncii și situațiilor de urgență cuprinde 3 faze:</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introductiv general</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la locul de muncă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periodică</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Lucrătorii care efectuează instruirea trebuie să fie specialiști în securitate și sănătate în muncă și să aibă terminate cursurile de securitatea muncii necesare nivelului cerut de lege.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Instruirea introductiv generală se face tuturor lucrătorilor care au raporturi de muncă cu societatea fie prin angajare, fie prin detașare de la altă societate, la intrarea în societate.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Instruirea de securitate și sănătate a muncii se efectuează de lucrătorul cu atribuții în domeniul securității muncii sau de serviciul extern de prevenire și protecție.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introductivă durează cf.deciziei și planificării interne și în cadrul său se prezintă: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riscurile de accidentare și îmbolnăvire profesională specifice unității;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legislația de sănătate și securitate în muncă în vigoare;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consecințele posibile ale necunoașterii și nerespectării legislației de protecție a muncii;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măsuri tehnico-organizatorice de prevenire, alarmare, intervenție, evacuare și prim ajutor;</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legislația de sănătate și securitate în muncă;</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instrucțiunile proprii la nivelul societății;</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regulamentul intern;</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contractul colectiv de muncă.</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periodică se face tuturor lucrătorilor angajați sau detașați.</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periodică se efectuează de lucrătorul cu atribuții în domeniul securității muncii sau de serviciul extern de prevenire și protecție.</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Instructajul periodic durează 1,30 ore și va avea frecvența stabilită prin instrucțiunile proprii ale societății.</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Prezentul capitol se completează cu prevederile legii 319/ 2006 și H.G. 1425/ 2006.</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b/>
          <w:color w:val="auto"/>
          <w:spacing w:val="0"/>
          <w:w w:val="100"/>
          <w:sz w:val="20"/>
          <w:szCs w:val="20"/>
          <w:lang w:val="ro-RO"/>
        </w:rPr>
        <w:t>Unitatea</w:t>
      </w:r>
      <w:r>
        <w:rPr>
          <w:rFonts w:eastAsia="Arial" w:cs="Arial" w:ascii="Arial" w:hAnsi="Arial"/>
          <w:color w:val="auto"/>
          <w:spacing w:val="0"/>
          <w:w w:val="100"/>
          <w:sz w:val="20"/>
          <w:szCs w:val="20"/>
          <w:lang w:val="ro-RO"/>
        </w:rPr>
        <w:t xml:space="preserve"> are obligația de întocmire și actualizare a documentelor de organizare a activității de apărare împotriva incendiilor conform legii 307.</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Cadrul tehnic PSI - SU are obligația de întocmire a tematicilor anuale de instruire a lucrătorilor și instruirea acestora în domeniul prevenirii și stingerii incendiilor conform Dispoziției MAI privind instruirea salariaților în domeniul situațiilor de urgență.</w:t>
      </w:r>
    </w:p>
    <w:p>
      <w:pPr>
        <w:pStyle w:val="Normal"/>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 listei cu substanțele periculoase clasificate astfel conform legii.</w:t>
      </w:r>
    </w:p>
    <w:p>
      <w:pPr>
        <w:pStyle w:val="BodyText2"/>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Întocmirea/actualizarea planului de intervenție în caz de incendiu conform legislației actuale.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inscripționării cu indicatoare de avertizare a locurilor periculoase și surselor de alimentare cu apă, locului pentru fumat, căilor de evacuare, etc.</w:t>
      </w:r>
    </w:p>
    <w:p>
      <w:pPr>
        <w:pStyle w:val="BodyT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mijloacelor tehnice, echipamentelor de protecție, substanțelor chimice de stingere care sunt specifice riscurilor care decurg din existența și funcționarea unității, precum și a medicamentelor și antidotului necesare acordării primului ajutor, conform art. 19, litera n din Legea nr.307 din 12.07.2006.</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Prelucrarea actelor normative noi apărute care reglementează activitatea de apărare împotriva incendiilor, a legii nr. 307/2006 și a altor acte normative subsecvente acesteia.</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Obligațiile și drepturile lucrătorilor privind securitatea și sănătatea în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să-și însușească și să respecte normele și instrucțiunile de securitate a muncii și măsurile de aplicare a acestora;</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echipamentele tehnice și celelalte mijloace și echipamente;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orice defecțiune sau altă situație care constituie un pericol de accidentare sau îmbolnăvire profesională.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oprească lucru la apariția unui pericol iminent de producere a unui accident și să informeze imediat conducătorul locului de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refuze întemeiat executarea unei sarcini de muncă dacă acesta ar pune în pericol de accidentare sau îmbolnăvire profesională persoana sa sau a celorlalți participanți în procesul de producție;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echipamentul individual de protecție din dotare, corespunzător scopului pentru care a fost acordat;</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au dreptul să ceara angajatorului să ia măsurile cele mai potrivite și să prezinte acestuia propunerile lor de măsuri pentru eliminarea sau reducerea riscurilor de accidente și îmbolnăvire profesională.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este </w:t>
      </w:r>
      <w:r>
        <w:rPr>
          <w:rFonts w:eastAsia="Arial" w:cs="Arial" w:ascii="Arial" w:hAnsi="Arial"/>
          <w:color w:val="auto"/>
          <w:spacing w:val="0"/>
          <w:w w:val="100"/>
          <w:sz w:val="20"/>
          <w:szCs w:val="20"/>
          <w:lang w:val="ro-RO"/>
        </w:rPr>
        <w:t>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Numărul de reprezentanți ai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nu este stabilit, deoarece nu se încadrează conform HG 1425/ 2006 art. 60, alin. (2), litera c).</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sunt aleși de către și dintre lucrătorii din unitate, conform celor stabilite prin 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widowControl/>
        <w:numPr>
          <w:ilvl w:val="0"/>
          <w:numId w:val="7"/>
        </w:numPr>
        <w:spacing w:before="0" w:after="40"/>
        <w:jc w:val="left"/>
        <w:rPr>
          <w:rStyle w:val="tli1"/>
          <w:rFonts w:ascii="Arial" w:hAnsi="Arial" w:cs="Arial"/>
          <w:sz w:val="18"/>
          <w:szCs w:val="18"/>
          <w:lang w:val="it-IT"/>
        </w:rPr>
      </w:pPr>
      <w:r>
        <w:rPr>
          <w:rStyle w:val="tal1"/>
          <w:rFonts w:eastAsia="Arial" w:cs="Arial" w:ascii="Arial" w:hAnsi="Arial"/>
          <w:color w:val="auto"/>
          <w:spacing w:val="0"/>
          <w:w w:val="100"/>
          <w:sz w:val="20"/>
          <w:szCs w:val="20"/>
          <w:lang w:val="ro-RO"/>
        </w:rPr>
        <w:t xml:space="preserve">Angajatorul va acorda fiecărui reprezentant al lucrătorilor în comitetele de securitate și sănătate în muncă timpul necesar exercitării atribuțiilor specifice și anume </w:t>
      </w:r>
      <w:r>
        <w:rPr>
          <w:rStyle w:val="tli1"/>
          <w:rFonts w:eastAsia="Arial" w:cs="Arial" w:ascii="Arial" w:hAnsi="Arial"/>
          <w:color w:val="auto"/>
          <w:spacing w:val="0"/>
          <w:w w:val="100"/>
          <w:sz w:val="20"/>
          <w:szCs w:val="20"/>
          <w:lang w:val="ro-RO"/>
        </w:rPr>
        <w:t>15 ore pe lună.</w:t>
      </w:r>
    </w:p>
    <w:p>
      <w:pPr>
        <w:pStyle w:val="Normal"/>
        <w:keepNext/>
        <w:widowControl/>
        <w:numPr>
          <w:ilvl w:val="0"/>
          <w:numId w:val="7"/>
        </w:numPr>
        <w:spacing w:before="0" w:after="40"/>
        <w:jc w:val="left"/>
        <w:rPr>
          <w:rStyle w:val="tal1"/>
          <w:rFonts w:ascii="Arial" w:hAnsi="Arial" w:cs="Arial"/>
          <w:sz w:val="18"/>
          <w:szCs w:val="18"/>
        </w:rPr>
      </w:pPr>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vor trebui să îndeplinească c</w:t>
      </w:r>
      <w:r>
        <w:rPr>
          <w:rStyle w:val="tal1"/>
          <w:rFonts w:eastAsia="Arial" w:cs="Arial" w:ascii="Arial" w:hAnsi="Arial"/>
          <w:color w:val="auto"/>
          <w:spacing w:val="0"/>
          <w:w w:val="100"/>
          <w:sz w:val="20"/>
          <w:szCs w:val="20"/>
          <w:lang w:val="ro-RO"/>
        </w:rPr>
        <w:t>erințele minime de pregătire în domeniul securității și sănătății în muncă corespunzătoare nivelului de bază (conform HG 1425/ 2006, art. 48, 55), astfel:</w:t>
      </w:r>
    </w:p>
    <w:p>
      <w:pPr>
        <w:pStyle w:val="Normal"/>
        <w:widowControl/>
        <w:numPr>
          <w:ilvl w:val="0"/>
          <w:numId w:val="41"/>
        </w:numPr>
        <w:spacing w:before="0" w:after="40"/>
        <w:ind w:hanging="360" w:left="1080"/>
        <w:jc w:val="left"/>
        <w:rPr>
          <w:rFonts w:ascii="Arial" w:hAnsi="Arial" w:cs="Arial"/>
          <w:sz w:val="18"/>
          <w:szCs w:val="18"/>
        </w:rPr>
      </w:pPr>
      <w:r>
        <w:rPr>
          <w:rStyle w:val="tli1"/>
          <w:rFonts w:eastAsia="Arial" w:cs="Arial" w:ascii="Arial" w:hAnsi="Arial"/>
          <w:color w:val="auto"/>
          <w:spacing w:val="0"/>
          <w:w w:val="100"/>
          <w:sz w:val="20"/>
          <w:szCs w:val="20"/>
          <w:lang w:val="ro-RO"/>
        </w:rPr>
        <w:t>studii în învățământul liceal filiera teoretică în profil real sau filiera tehnologică în profil tehnic;</w:t>
      </w:r>
    </w:p>
    <w:p>
      <w:pPr>
        <w:pStyle w:val="Normal"/>
        <w:widowControl/>
        <w:numPr>
          <w:ilvl w:val="0"/>
          <w:numId w:val="41"/>
        </w:numPr>
        <w:spacing w:before="0" w:after="40"/>
        <w:ind w:hanging="360" w:left="1080"/>
        <w:jc w:val="left"/>
        <w:rPr>
          <w:rFonts w:ascii="Arial" w:hAnsi="Arial" w:cs="Arial"/>
          <w:sz w:val="18"/>
          <w:szCs w:val="18"/>
        </w:rPr>
      </w:pPr>
      <w:r>
        <w:rPr>
          <w:rStyle w:val="tli1"/>
          <w:rFonts w:eastAsia="Arial" w:cs="Arial" w:ascii="Arial" w:hAnsi="Arial"/>
          <w:color w:val="auto"/>
          <w:spacing w:val="0"/>
          <w:w w:val="100"/>
          <w:sz w:val="20"/>
          <w:szCs w:val="20"/>
          <w:lang w:val="ro-RO"/>
        </w:rPr>
        <w:t>curs în domeniul securității și sănătății în muncă, cu conținut minim conform celui prevăzut în anexa nr. 6 lit. A din HG 1425/ 2006, cu o durată de cel puțin 40 de ore;</w:t>
      </w:r>
    </w:p>
    <w:p>
      <w:pPr>
        <w:pStyle w:val="Normal"/>
        <w:widowControl/>
        <w:numPr>
          <w:ilvl w:val="0"/>
          <w:numId w:val="4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n</w:t>
      </w:r>
      <w:r>
        <w:rPr>
          <w:rStyle w:val="tal1"/>
          <w:rFonts w:eastAsia="Arial" w:cs="Arial" w:ascii="Arial" w:hAnsi="Arial"/>
          <w:color w:val="auto"/>
          <w:spacing w:val="0"/>
          <w:w w:val="100"/>
          <w:sz w:val="20"/>
          <w:szCs w:val="20"/>
          <w:lang w:val="ro-RO"/>
        </w:rPr>
        <w:t>ivelul de bază se atestă prin diploma de studii și certificatul de absolvire a cursului.</w:t>
      </w:r>
    </w:p>
    <w:p>
      <w:pPr>
        <w:pStyle w:val="Normal"/>
        <w:keepNext/>
        <w:widowControl/>
        <w:numPr>
          <w:ilvl w:val="0"/>
          <w:numId w:val="7"/>
        </w:numPr>
        <w:spacing w:before="0" w:after="4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cu ocazia adunării generale a salariaților, se vor întruni pentru a alege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cu ocazia adunării generale a salariaților, vor hotăra prin vot secret </w:t>
      </w:r>
      <w:r>
        <w:rPr>
          <w:rStyle w:val="tal1"/>
          <w:rFonts w:eastAsia="Arial" w:cs="Arial" w:ascii="Arial" w:hAnsi="Arial"/>
          <w:color w:val="auto"/>
          <w:spacing w:val="0"/>
          <w:w w:val="100"/>
          <w:sz w:val="20"/>
          <w:szCs w:val="20"/>
          <w:lang w:val="ro-RO"/>
        </w:rPr>
        <w:t xml:space="preserve">reprezentanți lucrătorilor </w:t>
      </w:r>
      <w:r>
        <w:rPr>
          <w:rStyle w:val="tpa1"/>
          <w:rFonts w:eastAsia="Arial" w:cs="Arial" w:ascii="Arial" w:hAnsi="Arial"/>
          <w:color w:val="auto"/>
          <w:spacing w:val="0"/>
          <w:w w:val="100"/>
          <w:sz w:val="20"/>
          <w:szCs w:val="20"/>
          <w:lang w:val="ro-RO"/>
        </w:rPr>
        <w:t>cu răspunderi specifice în domeniul securității și sănătății în muncă, potrivit listei de semnături ce constituie anexa la Procesul – verbal de întrunire a adunării generale a salariaților;</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procesul – verbal de întrunire a adunării generale a salariaților va fi încheiat în 3 (trei) exemplare, din care un exemplar pentru reprezentanții salariaților, un exemplar la Departamentul Resurse umane și un exemplar la Departamentul SSM-SU-PM;</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pentru ca alegerea să fie validate fiecare reprezentant al lucrătorilor cu răspunderi specifice în domeniul securității și sănătății în muncă va trebui să fie ales de cel puțin 50 % + 1 din totalul numărului de angajați ai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angajatorul, după alegeri, va desemna prin decizie scrisă,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atribuțiile reprezentanții lucrătorilor cu răspunderi specifice în domeniul securității și sănătății în muncă vor fi specificate în fișa postului pentru fiecare lucrător ales.</w:t>
      </w:r>
    </w:p>
    <w:p>
      <w:pPr>
        <w:pStyle w:val="Normal"/>
        <w:widowControl/>
        <w:numPr>
          <w:ilvl w:val="0"/>
          <w:numId w:val="7"/>
        </w:numPr>
        <w:spacing w:before="0" w:after="40"/>
        <w:jc w:val="left"/>
        <w:rPr>
          <w:rStyle w:val="al1"/>
          <w:rFonts w:ascii="Arial" w:hAnsi="Arial" w:cs="Arial"/>
          <w:b w:val="false"/>
          <w:bCs w:val="false"/>
          <w:color w:val="000000"/>
          <w:sz w:val="18"/>
          <w:szCs w:val="18"/>
          <w:lang w:val="it-IT"/>
        </w:rPr>
      </w:pPr>
      <w:r>
        <w:rPr>
          <w:rStyle w:val="al1"/>
          <w:rFonts w:eastAsia="Arial" w:cs="Arial" w:ascii="Arial" w:hAnsi="Arial"/>
          <w:b w:val="false"/>
          <w:bCs w:val="false"/>
          <w:color w:val="auto"/>
          <w:spacing w:val="0"/>
          <w:w w:val="100"/>
          <w:sz w:val="20"/>
          <w:szCs w:val="20"/>
          <w:lang w:val="ro-RO"/>
        </w:rPr>
        <w:t>Adunarea generală a salariaților va fi efectuată ori de câte ori va fi necesar prin convocare, afișare la avizierul unității și informarea directă a reprezentanților salariaților.</w:t>
      </w:r>
    </w:p>
    <w:p>
      <w:pPr>
        <w:pStyle w:val="Normal"/>
        <w:widowControl/>
        <w:numPr>
          <w:ilvl w:val="0"/>
          <w:numId w:val="7"/>
        </w:numPr>
        <w:spacing w:before="0" w:after="40"/>
        <w:jc w:val="left"/>
        <w:rPr>
          <w:rStyle w:val="tal1"/>
          <w:rFonts w:ascii="Arial" w:hAnsi="Arial" w:cs="Arial"/>
          <w:sz w:val="18"/>
          <w:szCs w:val="18"/>
          <w:lang w:val="it-IT"/>
        </w:rPr>
      </w:pPr>
      <w:r>
        <w:rPr>
          <w:rStyle w:val="al1"/>
          <w:rFonts w:eastAsia="Arial" w:cs="Arial" w:ascii="Arial" w:hAnsi="Arial"/>
          <w:b w:val="false"/>
          <w:color w:val="auto"/>
          <w:spacing w:val="0"/>
          <w:w w:val="100"/>
          <w:sz w:val="20"/>
          <w:szCs w:val="20"/>
          <w:lang w:val="ro-RO"/>
        </w:rPr>
        <w:t xml:space="preserve">Având în vedere că </w:t>
      </w:r>
      <w:r>
        <w:rPr>
          <w:rStyle w:val="al1"/>
          <w:rFonts w:eastAsia="Arial" w:cs="Arial" w:ascii="Arial" w:hAnsi="Arial"/>
          <w:bCs w:val="false"/>
          <w:color w:val="auto"/>
          <w:spacing w:val="0"/>
          <w:w w:val="100"/>
          <w:sz w:val="20"/>
          <w:szCs w:val="20"/>
          <w:lang w:val="ro-RO"/>
        </w:rPr>
        <w:t>{{client.legalName}}</w:t>
      </w:r>
      <w:r>
        <w:rPr>
          <w:rStyle w:val="al1"/>
          <w:rFonts w:eastAsia="Arial" w:cs="Arial" w:ascii="Arial" w:hAnsi="Arial"/>
          <w:b w:val="false"/>
          <w:color w:val="auto"/>
          <w:spacing w:val="0"/>
          <w:w w:val="100"/>
          <w:sz w:val="20"/>
          <w:szCs w:val="20"/>
          <w:lang w:val="ro-RO"/>
        </w:rPr>
        <w:t xml:space="preserve"> are un număr mediu de până la </w:t>
      </w:r>
      <w:r>
        <w:rPr>
          <w:rStyle w:val="al1"/>
          <w:rFonts w:eastAsia="Arial" w:cs="Arial" w:ascii="Arial" w:hAnsi="Arial"/>
          <w:color w:val="auto"/>
          <w:spacing w:val="0"/>
          <w:w w:val="100"/>
          <w:sz w:val="20"/>
          <w:szCs w:val="20"/>
          <w:lang w:val="ro-RO"/>
        </w:rPr>
        <w:t>5</w:t>
      </w:r>
      <w:r>
        <w:rPr>
          <w:rStyle w:val="al1"/>
          <w:rFonts w:eastAsia="Arial" w:cs="Arial" w:ascii="Arial" w:hAnsi="Arial"/>
          <w:b w:val="false"/>
          <w:color w:val="auto"/>
          <w:spacing w:val="0"/>
          <w:w w:val="100"/>
          <w:sz w:val="20"/>
          <w:szCs w:val="20"/>
          <w:lang w:val="ro-RO"/>
        </w:rPr>
        <w:t xml:space="preserve"> lucrători, </w:t>
      </w:r>
      <w:r>
        <w:rPr>
          <w:rStyle w:val="al1"/>
          <w:rFonts w:eastAsia="Arial" w:cs="Arial" w:ascii="Arial" w:hAnsi="Arial"/>
          <w:color w:val="auto"/>
          <w:spacing w:val="0"/>
          <w:w w:val="100"/>
          <w:sz w:val="20"/>
          <w:szCs w:val="20"/>
          <w:lang w:val="ro-RO"/>
        </w:rPr>
        <w:t>NU</w:t>
      </w:r>
      <w:r>
        <w:rPr>
          <w:rStyle w:val="al1"/>
          <w:rFonts w:eastAsia="Arial" w:cs="Arial" w:ascii="Arial" w:hAnsi="Arial"/>
          <w:b w:val="false"/>
          <w:color w:val="auto"/>
          <w:spacing w:val="0"/>
          <w:w w:val="100"/>
          <w:sz w:val="20"/>
          <w:szCs w:val="20"/>
          <w:lang w:val="ro-RO"/>
        </w:rPr>
        <w:t xml:space="preserve"> este necesar să se </w:t>
      </w:r>
      <w:r>
        <w:rPr>
          <w:rStyle w:val="tal1"/>
          <w:rFonts w:eastAsia="Arial" w:cs="Arial" w:ascii="Arial" w:hAnsi="Arial"/>
          <w:color w:val="auto"/>
          <w:spacing w:val="0"/>
          <w:w w:val="100"/>
          <w:sz w:val="20"/>
          <w:szCs w:val="20"/>
          <w:lang w:val="ro-RO"/>
        </w:rPr>
        <w:t xml:space="preserve">constituie </w:t>
      </w:r>
      <w:r>
        <w:rPr>
          <w:rStyle w:val="al1"/>
          <w:rFonts w:eastAsia="Arial" w:cs="Arial" w:ascii="Arial" w:hAnsi="Arial"/>
          <w:b w:val="false"/>
          <w:color w:val="auto"/>
          <w:spacing w:val="0"/>
          <w:w w:val="100"/>
          <w:sz w:val="20"/>
          <w:szCs w:val="20"/>
          <w:lang w:val="ro-RO"/>
        </w:rPr>
        <w:t xml:space="preserve">un </w:t>
      </w:r>
      <w:r>
        <w:rPr>
          <w:rStyle w:val="tal1"/>
          <w:rFonts w:eastAsia="Arial" w:cs="Arial" w:ascii="Arial" w:hAnsi="Arial"/>
          <w:color w:val="auto"/>
          <w:spacing w:val="0"/>
          <w:w w:val="100"/>
          <w:sz w:val="20"/>
          <w:szCs w:val="20"/>
          <w:lang w:val="ro-RO"/>
        </w:rPr>
        <w:t>Comitet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Comitetul de securitate și sănătate în muncă este constituit din reprezentanții lucrătorilor cu răspunderi specifice în domeniul securității și sănătății lucrătorilor, pe de o parte, și angajator sau reprezentantul său legal și/ sau reprezentanții săi în număr egal cu cel al reprezentanților lucrătorilor și medicul de medicina muncii, pe de altă parte.</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Lucrătorul desemnat sau reprezentantul serviciului intern de prevenire și protecție este secretarul comitetului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al1"/>
          <w:rFonts w:eastAsia="Arial" w:cs="Arial" w:ascii="Arial" w:hAnsi="Arial"/>
          <w:b w:val="false"/>
          <w:color w:val="auto"/>
          <w:spacing w:val="0"/>
          <w:w w:val="100"/>
          <w:sz w:val="20"/>
          <w:szCs w:val="20"/>
          <w:lang w:val="ro-RO"/>
        </w:rPr>
        <w:t>F</w:t>
      </w:r>
      <w:r>
        <w:rPr>
          <w:rStyle w:val="tal1"/>
          <w:rFonts w:eastAsia="Arial" w:cs="Arial" w:ascii="Arial" w:hAnsi="Arial"/>
          <w:color w:val="auto"/>
          <w:spacing w:val="0"/>
          <w:w w:val="100"/>
          <w:sz w:val="20"/>
          <w:szCs w:val="20"/>
          <w:lang w:val="ro-RO"/>
        </w:rPr>
        <w:t xml:space="preserve">iecărui reprezentant al lucrătorilor în comitetele de securitate și sănătate în muncă i se va acorda </w:t>
      </w:r>
      <w:r>
        <w:rPr>
          <w:rStyle w:val="tli1"/>
          <w:rFonts w:eastAsia="Arial" w:cs="Arial" w:ascii="Arial" w:hAnsi="Arial"/>
          <w:color w:val="auto"/>
          <w:spacing w:val="0"/>
          <w:w w:val="100"/>
          <w:sz w:val="20"/>
          <w:szCs w:val="20"/>
          <w:lang w:val="ro-RO"/>
        </w:rPr>
        <w:t>15 ore pe luna</w:t>
      </w:r>
      <w:r>
        <w:rPr>
          <w:rStyle w:val="tal1"/>
          <w:rFonts w:eastAsia="Arial" w:cs="Arial" w:ascii="Arial" w:hAnsi="Arial"/>
          <w:color w:val="auto"/>
          <w:spacing w:val="0"/>
          <w:w w:val="100"/>
          <w:sz w:val="20"/>
          <w:szCs w:val="20"/>
          <w:lang w:val="ro-RO"/>
        </w:rPr>
        <w:t xml:space="preserve"> ca și timp necesar exercitării atribuțiilor specifice în domeniul securității și sănătății în muncă.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Membrii comitetului de securitate și sănătate în muncă se nominalizează prin decizie scrisă a președintelui acestuia, iar componența comitetului va fi adusa la cunoștința tuturor lucrătorilor.</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La întrunirile comitetului de securitate și sănătate în muncă vor fi convocați să participe lucrătorii desemnați, reprezentanții serviciului intern de prevenire și protecție și, în cazul în care angajatorul a contractat unul sau mai multe servicii externe de prevenire și protecție, reprezentanții acestora, dar vor putea fi convocați să participe și alți lucrători din cadrul </w:t>
      </w:r>
      <w:r>
        <w:rPr>
          <w:rStyle w:val="tal1"/>
          <w:rFonts w:eastAsia="Arial" w:cs="Arial" w:ascii="Arial" w:hAnsi="Arial"/>
          <w:b/>
          <w:bCs/>
          <w:color w:val="auto"/>
          <w:spacing w:val="0"/>
          <w:w w:val="100"/>
          <w:sz w:val="20"/>
          <w:szCs w:val="20"/>
          <w:lang w:val="ro-RO"/>
        </w:rPr>
        <w:t>{{client.legalName}}</w:t>
      </w:r>
      <w:r>
        <w:rPr>
          <w:rStyle w:val="tal1"/>
          <w:rFonts w:eastAsia="Arial" w:cs="Arial" w:ascii="Arial" w:hAnsi="Arial"/>
          <w:color w:val="auto"/>
          <w:spacing w:val="0"/>
          <w:w w:val="100"/>
          <w:sz w:val="20"/>
          <w:szCs w:val="20"/>
          <w:lang w:val="ro-RO"/>
        </w:rPr>
        <w:t>.</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La întrunirile comitetului de securitate și sănătate în muncă pot fi invitați să participe inspectori de muncă.</w:t>
      </w:r>
    </w:p>
    <w:p>
      <w:pPr>
        <w:pStyle w:val="Normal"/>
        <w:widowControl/>
        <w:numPr>
          <w:ilvl w:val="0"/>
          <w:numId w:val="7"/>
        </w:numPr>
        <w:spacing w:before="0" w:after="40"/>
        <w:jc w:val="left"/>
        <w:rPr>
          <w:rStyle w:val="tpa1"/>
          <w:rFonts w:ascii="Arial" w:hAnsi="Arial" w:cs="Arial"/>
          <w:b/>
          <w:bCs/>
          <w:sz w:val="18"/>
          <w:szCs w:val="18"/>
          <w:lang w:val="it-IT"/>
        </w:rPr>
      </w:pPr>
      <w:r>
        <w:rPr>
          <w:rStyle w:val="tpa1"/>
          <w:rFonts w:eastAsia="Arial" w:cs="Arial" w:ascii="Arial" w:hAnsi="Arial"/>
          <w:color w:val="auto"/>
          <w:spacing w:val="0"/>
          <w:w w:val="100"/>
          <w:sz w:val="20"/>
          <w:szCs w:val="20"/>
          <w:lang w:val="ro-RO"/>
        </w:rPr>
        <w:t xml:space="preserve">Comitetul de securitate și sănătate în muncă va funcționa în baza regulamentului de </w:t>
      </w:r>
      <w:r>
        <w:rPr>
          <w:rStyle w:val="tpa1"/>
          <w:rFonts w:eastAsia="Arial" w:cs="Arial" w:ascii="Arial" w:hAnsi="Arial"/>
          <w:color w:val="auto"/>
          <w:spacing w:val="0"/>
          <w:w w:val="100"/>
          <w:sz w:val="20"/>
          <w:szCs w:val="20"/>
          <w:lang w:val="ro-RO"/>
        </w:rPr>
        <w:t>funcționare</w:t>
      </w:r>
      <w:r>
        <w:rPr>
          <w:rStyle w:val="tpa1"/>
          <w:rFonts w:eastAsia="Arial" w:cs="Arial" w:ascii="Arial" w:hAnsi="Arial"/>
          <w:color w:val="auto"/>
          <w:spacing w:val="0"/>
          <w:w w:val="100"/>
          <w:sz w:val="20"/>
          <w:szCs w:val="20"/>
          <w:lang w:val="ro-RO"/>
        </w:rPr>
        <w:t xml:space="preserve"> propriu</w:t>
      </w:r>
      <w:r>
        <w:rPr>
          <w:rStyle w:val="tal1"/>
          <w:rFonts w:eastAsia="Arial" w:cs="Arial" w:ascii="Arial" w:hAnsi="Arial"/>
          <w:color w:val="auto"/>
          <w:spacing w:val="0"/>
          <w:w w:val="100"/>
          <w:sz w:val="20"/>
          <w:szCs w:val="20"/>
          <w:lang w:val="ro-RO"/>
        </w:rPr>
        <w:t xml:space="preserve"> </w:t>
      </w:r>
      <w:r>
        <w:rPr>
          <w:rStyle w:val="tal1"/>
          <w:rFonts w:eastAsia="Arial" w:cs="Arial" w:ascii="Arial" w:hAnsi="Arial"/>
          <w:b/>
          <w:bCs/>
          <w:color w:val="auto"/>
          <w:spacing w:val="0"/>
          <w:w w:val="100"/>
          <w:sz w:val="20"/>
          <w:szCs w:val="20"/>
          <w:lang w:val="ro-RO"/>
        </w:rPr>
        <w:t>{{client.legalName}}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w:t>
      </w:r>
      <w:r>
        <w:rPr>
          <w:rFonts w:eastAsia="Arial" w:cs="Arial" w:ascii="Arial" w:hAnsi="Arial"/>
          <w:bCs/>
          <w:color w:val="auto"/>
          <w:spacing w:val="0"/>
          <w:w w:val="100"/>
          <w:sz w:val="20"/>
          <w:szCs w:val="20"/>
          <w:lang w:val="ro-RO"/>
        </w:rPr>
        <w:t xml:space="preserve">ucrătorul desemnat sau </w:t>
      </w: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erviciul extern va trebui:</w:t>
      </w:r>
    </w:p>
    <w:p>
      <w:pPr>
        <w:pStyle w:val="Normal"/>
        <w:widowControl/>
        <w:numPr>
          <w:ilvl w:val="0"/>
          <w:numId w:val="52"/>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propună atribuții și răspunderi în domeniul securității și sănătății în muncă pentru fișa postului pentru angajați, corespunzător funcțiilor exercitate;</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elaboreze instrucțiuni proprii de securitatea a muncii, care să detalieze și să particularizeze normele specifice securității și sănătății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asigure și să controleze, cunoașterea și aplicarea de către toți angajații, a măsurilor tehnice și organizatorice stabilite, precum și a prevederilor legale în domeniul securității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asigure materiale necesare informării și educării angajaților: afișe, pliante, teste, fișe tehnice de securitate, carto, etc.;</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asigure informarea fiecărei persoane, anterior angajării, asupra riscurilor la care acesta va fi expus, precum și asupra măsurilor tehnice și organizatorice de prevenire necesare;</w:t>
      </w:r>
    </w:p>
    <w:p>
      <w:pPr>
        <w:pStyle w:val="Normal"/>
        <w:widowControl/>
        <w:numPr>
          <w:ilvl w:val="0"/>
          <w:numId w:val="50"/>
        </w:numPr>
        <w:spacing w:before="0" w:after="12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asigure materialul necesar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inclusive cele referitoare la primul ajutor, prevenirea și stingerea incendiilor și evacuarea în caz de urgență;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Reguli privind respectarea principiului nediscriminării și al înlăturării oricărei forme de încălcare a demnității</w:t>
      </w:r>
      <w:r>
        <w:rPr>
          <w:rFonts w:eastAsia="Arial" w:cs="Arial" w:ascii="Arial" w:hAnsi="Arial"/>
          <w:color w:val="auto"/>
          <w:spacing w:val="0"/>
          <w:w w:val="100"/>
          <w:sz w:val="20"/>
          <w:szCs w:val="20"/>
          <w:lang w:val="ro-RO"/>
        </w:rPr>
        <w:t>:</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cadrul relațiilor de muncă funcționează principiul egalității de tratament față de toți LUCRĂTORII și angajatorii orice discriminare este interzisă.</w:t>
      </w:r>
    </w:p>
    <w:p>
      <w:pPr>
        <w:pStyle w:val="BodyText"/>
        <w:widowControl/>
        <w:numPr>
          <w:ilvl w:val="0"/>
          <w:numId w:val="17"/>
        </w:numPr>
        <w:spacing w:before="0" w:after="40"/>
        <w:jc w:val="left"/>
        <w:rPr>
          <w:rFonts w:ascii="Arial" w:hAnsi="Arial" w:cs="Arial"/>
          <w:b/>
          <w:bCs/>
          <w:sz w:val="18"/>
          <w:szCs w:val="18"/>
          <w:lang w:val="it-IT"/>
        </w:rPr>
      </w:pPr>
      <w:r>
        <w:rPr>
          <w:rFonts w:eastAsia="Arial" w:cs="Arial" w:ascii="Arial" w:hAnsi="Arial"/>
          <w:color w:val="auto"/>
          <w:spacing w:val="0"/>
          <w:w w:val="100"/>
          <w:sz w:val="20"/>
          <w:szCs w:val="20"/>
          <w:lang w:val="ro-RO"/>
        </w:rPr>
        <w:t>Prin discriminare se înțelege orice deosebire, excludere, restricție sau preferinta, pe baza de rasa, naționalitate, etnie, limba, religie, categorie socială, convingeri, gen, orientare sexuală, vârsta, dizabilitate, boala cronica necontagioasă, infectare HIV ori apartenenta la o categorie defavorizată sau orice alt criteriu care are ca scop sau efect restrângerea sau înlăturarea recunoașterii, folosinței sau exercitării, în condiții egale, a drepturilor omului și libertăților fundamentale sau a drepturilor recunoscute de lege, în domeniul politic, economic, social și cultural.</w:t>
      </w:r>
    </w:p>
    <w:p>
      <w:pPr>
        <w:pStyle w:val="Heading5"/>
        <w:keepNext/>
        <w:widowControl/>
        <w:numPr>
          <w:ilvl w:val="0"/>
          <w:numId w:val="17"/>
        </w:numPr>
        <w:spacing w:before="0" w:after="40"/>
        <w:jc w:val="left"/>
        <w:rPr>
          <w:rFonts w:ascii="Arial" w:hAnsi="Arial" w:cs="Arial"/>
          <w:bCs/>
          <w:i w:val="false"/>
          <w:iCs w:val="false"/>
          <w:sz w:val="18"/>
          <w:szCs w:val="18"/>
          <w:lang w:val="it-IT"/>
        </w:rPr>
      </w:pPr>
      <w:r>
        <w:rPr>
          <w:rFonts w:eastAsia="Arial" w:cs="Arial" w:ascii="Arial" w:hAnsi="Arial"/>
          <w:bCs/>
          <w:i w:val="false"/>
          <w:iCs w:val="false"/>
          <w:color w:val="auto"/>
          <w:spacing w:val="0"/>
          <w:w w:val="100"/>
          <w:sz w:val="20"/>
          <w:szCs w:val="20"/>
          <w:lang w:val="ro-RO"/>
        </w:rPr>
        <w:t>Principiul egalității, al excluderii privilegiilor și discriminării este garantat în exercitarea următoarelor drepturi:</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muncă, la condiții de muncă echitabile și satisfăcătoare, la protecție împotriva șomajului, la salariu egal pentru muncă egală, la o remunerație echitabilă și satisfăcătoare;</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sănătate, la securitate socială și la servicii sociale;</w:t>
      </w:r>
    </w:p>
    <w:p>
      <w:pPr>
        <w:pStyle w:val="Normal"/>
        <w:widowControl/>
        <w:numPr>
          <w:ilvl w:val="0"/>
          <w:numId w:val="1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dreptul la pregătire profesională;</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de a lua parte, în condiții egale, la activități culturale și sportive.</w:t>
      </w:r>
    </w:p>
    <w:p>
      <w:pPr>
        <w:pStyle w:val="Normal"/>
        <w:keepNext/>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Principiul egalității de șanse este aplicat în ceea ce privește: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condițiile de încadrare în muncă, criteriile și condițiile de recrutare;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selectare și promovare, formare și perfecționare profesională;</w:t>
      </w:r>
    </w:p>
    <w:p>
      <w:pPr>
        <w:pStyle w:val="Normal"/>
        <w:widowControl/>
        <w:numPr>
          <w:ilvl w:val="0"/>
          <w:numId w:val="3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anunțarea, organizarea concursurilor sau examenelor și selecția;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candidaților pentru posturile vacante;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încheierea, suspendarea, modificarea sau încetarea raportului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și modificarea atribuțiilor de serviciu din fișa postului, locului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remunerației;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evaluarea performantelor profesionale individuale;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promovarea personală;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acordarea altor drepturi sociale altele decât cele reprezentând salariul;</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formarea, perfecționarea, reconversia, și promovarea profesională;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aplicarea măsurilor disciplinare;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aderare la sindicat și accesul la facilitățile acordate de acesta;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orice alte condiții de prestare a muncii, potrivit legislației în vigoare.</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dintre lucrătorii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precum și dintre aceștia și alte persoane fizice cu care vin în contact în îndeplinirea atribuțiilor de serviciu, se interzice orice comportament care să aibă ca scop sau efect, defavorizarea sau supunerea la un tratament injust sau degradant a unei persoane sau grup de persoane.</w:t>
      </w:r>
    </w:p>
    <w:p>
      <w:pPr>
        <w:pStyle w:val="Normal"/>
        <w:keepNext/>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Constituie abatere disciplinară orice comportament având ca scop:</w:t>
      </w:r>
    </w:p>
    <w:p>
      <w:pPr>
        <w:pStyle w:val="Normal"/>
        <w:widowControl/>
        <w:numPr>
          <w:ilvl w:val="0"/>
          <w:numId w:val="2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crearea la locul de muncă a unei atmosfere de intimidare, de ostilitate sau descurajare pentru o persoană sau grup de persoane;</w:t>
      </w:r>
    </w:p>
    <w:p>
      <w:pPr>
        <w:pStyle w:val="Normal"/>
        <w:widowControl/>
        <w:numPr>
          <w:ilvl w:val="0"/>
          <w:numId w:val="24"/>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influențarea negativă a situației lucrătorului în ceea ce privește promovarea profesională, remunerația sau veniturile de orice natură ori accesul la formarea și perfecționarea profesională, în cazul refuzului acestuia de a accepta un comportament nedorit, ce tine de viața sexuală.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bCs/>
          <w:color w:val="auto"/>
          <w:spacing w:val="0"/>
          <w:w w:val="100"/>
          <w:sz w:val="20"/>
          <w:szCs w:val="20"/>
          <w:lang w:val="ro-RO"/>
        </w:rPr>
        <w:t>Reglementări privind protecția maternității</w:t>
      </w:r>
      <w:r>
        <w:rPr>
          <w:rFonts w:eastAsia="Arial" w:cs="Arial" w:ascii="Arial" w:hAnsi="Arial"/>
          <w:bCs/>
          <w:color w:val="auto"/>
          <w:spacing w:val="0"/>
          <w:w w:val="100"/>
          <w:sz w:val="20"/>
          <w:szCs w:val="20"/>
          <w:lang w:val="ro-RO"/>
        </w:rPr>
        <w:t>:</w:t>
      </w:r>
    </w:p>
    <w:p>
      <w:pPr>
        <w:pStyle w:val="Normal"/>
        <w:widowControl/>
        <w:numPr>
          <w:ilvl w:val="0"/>
          <w:numId w:val="34"/>
        </w:numPr>
        <w:spacing w:before="0" w:after="40"/>
        <w:jc w:val="left"/>
        <w:rPr>
          <w:rStyle w:val="tpa1"/>
          <w:rFonts w:ascii="Arial" w:hAnsi="Arial" w:cs="Arial"/>
          <w:b/>
          <w:sz w:val="18"/>
          <w:szCs w:val="18"/>
          <w:lang w:val="it-CH"/>
        </w:rPr>
      </w:pPr>
      <w:r>
        <w:rPr>
          <w:rFonts w:eastAsia="Arial" w:cs="Arial" w:ascii="Arial" w:hAnsi="Arial"/>
          <w:color w:val="auto"/>
          <w:spacing w:val="0"/>
          <w:w w:val="100"/>
          <w:sz w:val="20"/>
          <w:szCs w:val="20"/>
          <w:lang w:val="ro-RO"/>
        </w:rPr>
        <w:t xml:space="preserve">În ceea ce privește </w:t>
      </w:r>
      <w:r>
        <w:rPr>
          <w:rStyle w:val="tpa1"/>
          <w:rFonts w:eastAsia="Arial" w:cs="Arial" w:ascii="Arial" w:hAnsi="Arial"/>
          <w:color w:val="auto"/>
          <w:spacing w:val="0"/>
          <w:w w:val="100"/>
          <w:sz w:val="20"/>
          <w:szCs w:val="20"/>
          <w:lang w:val="ro-RO"/>
        </w:rPr>
        <w:t>securitatea și sănătatea în muncă a salariatelor gravide și/ sau mame, lăuze sau care alăptează, angajatorul va asigura la locul de muncă măsuri privind igiena, protecția sănătății și securitatea în muncă a acestora conform prevederilor legale.</w:t>
      </w:r>
    </w:p>
    <w:p>
      <w:pPr>
        <w:pStyle w:val="Normal"/>
        <w:keepNext/>
        <w:widowControl/>
        <w:numPr>
          <w:ilvl w:val="0"/>
          <w:numId w:val="34"/>
        </w:numPr>
        <w:spacing w:before="0" w:after="40"/>
        <w:jc w:val="left"/>
        <w:rPr>
          <w:rStyle w:val="tpa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pentru a beneficia de aceste măsuri trebuie să informeze în scris angajatorul asupra stării lor fiziologice astfel:</w:t>
      </w:r>
    </w:p>
    <w:p>
      <w:pPr>
        <w:pStyle w:val="Normal"/>
        <w:widowControl/>
        <w:numPr>
          <w:ilvl w:val="0"/>
          <w:numId w:val="35"/>
        </w:numPr>
        <w:spacing w:before="0" w:after="40"/>
        <w:ind w:hanging="360" w:left="1080"/>
        <w:jc w:val="left"/>
        <w:rPr>
          <w:rFonts w:ascii="Arial" w:hAnsi="Arial" w:cs="Arial"/>
          <w:b/>
          <w:sz w:val="18"/>
          <w:szCs w:val="18"/>
          <w:lang w:val="it-CH"/>
        </w:rPr>
      </w:pPr>
      <w:r>
        <w:rPr>
          <w:rStyle w:val="tpa1"/>
          <w:rFonts w:eastAsia="Arial" w:cs="Arial" w:ascii="Arial" w:hAnsi="Arial"/>
          <w:color w:val="auto"/>
          <w:spacing w:val="0"/>
          <w:w w:val="100"/>
          <w:sz w:val="20"/>
          <w:szCs w:val="20"/>
          <w:lang w:val="ro-RO"/>
        </w:rPr>
        <w:t xml:space="preserve">salariata gravidă va anunța</w:t>
      </w:r>
      <w:r>
        <w:rPr>
          <w:rFonts w:eastAsia="Arial" w:cs="Arial" w:ascii="Arial" w:hAnsi="Arial"/>
          <w:color w:val="auto"/>
          <w:spacing w:val="0"/>
          <w:w w:val="100"/>
          <w:sz w:val="20"/>
          <w:szCs w:val="20"/>
          <w:lang w:val="ro-RO"/>
        </w:rPr>
        <w:t xml:space="preserve"> în scris angajatorul asupra stării sale fiziologice de graviditate, va depune în copie Anexa pentru supravegherea medicală a gravidei – document medical, completat de medic, însoțită de o cerere care conține informații referitoare la starea de maternitate și solicitarea de a i se aplica măsurile de protecție prevăzute de ordonanță; documentul medical va conține constatarea stării fiziologice de sănătate, data prezumtivă a nașterii, recomandări privind capacitatea de muncă a acesteia pe timp de zi/ noapte, precum și în condiții de muncă insalubre sau greu de suportat;</w:t>
      </w:r>
    </w:p>
    <w:p>
      <w:pPr>
        <w:pStyle w:val="Normal"/>
        <w:widowControl/>
        <w:numPr>
          <w:ilvl w:val="0"/>
          <w:numId w:val="35"/>
        </w:numPr>
        <w:spacing w:before="0" w:after="40"/>
        <w:ind w:hanging="360" w:left="1080"/>
        <w:jc w:val="left"/>
        <w:rPr>
          <w:rFonts w:ascii="Arial" w:hAnsi="Arial" w:cs="Arial"/>
          <w:b/>
          <w:sz w:val="18"/>
          <w:szCs w:val="18"/>
          <w:lang w:val="it-CH"/>
        </w:rPr>
      </w:pPr>
      <w:r>
        <w:rPr>
          <w:rFonts w:eastAsia="Arial" w:cs="Arial" w:ascii="Arial" w:hAnsi="Arial"/>
          <w:color w:val="auto"/>
          <w:spacing w:val="0"/>
          <w:w w:val="100"/>
          <w:sz w:val="20"/>
          <w:szCs w:val="20"/>
          <w:lang w:val="ro-RO"/>
        </w:rPr>
        <w:t>salariata lăuză, care și-a reluat activitatea după efectuarea concediului de lăuzie respectiv a concediului postnatal obligatoriu de 42 de zile, sau după caz a 63 de zile ale concediului de lăuzie, va solicita angajatorului în scris măsurile de protecție prevăzute de lege, anexând un document medical eliberat de medicul de familie/ medicul specialist, dar nu mai târziu de 6 luni de la data la care a născut;</w:t>
      </w:r>
    </w:p>
    <w:p>
      <w:pPr>
        <w:pStyle w:val="Normal"/>
        <w:widowControl/>
        <w:numPr>
          <w:ilvl w:val="0"/>
          <w:numId w:val="35"/>
        </w:numPr>
        <w:spacing w:before="0" w:after="40"/>
        <w:ind w:hanging="360" w:left="1080"/>
        <w:jc w:val="left"/>
        <w:rPr>
          <w:rStyle w:val="tli1"/>
          <w:rFonts w:ascii="Arial" w:hAnsi="Arial" w:cs="Arial"/>
          <w:b/>
          <w:sz w:val="18"/>
          <w:szCs w:val="18"/>
          <w:lang w:val="it-CH"/>
        </w:rPr>
      </w:pPr>
      <w:r>
        <w:rPr>
          <w:rFonts w:eastAsia="Arial" w:cs="Arial" w:ascii="Arial" w:hAnsi="Arial"/>
          <w:color w:val="auto"/>
          <w:spacing w:val="0"/>
          <w:w w:val="100"/>
          <w:sz w:val="20"/>
          <w:szCs w:val="20"/>
          <w:lang w:val="ro-RO"/>
        </w:rPr>
        <w:t xml:space="preserve">salariata care alăptează, la reluarea</w:t>
      </w:r>
      <w:r>
        <w:rPr>
          <w:rStyle w:val="tli1"/>
          <w:rFonts w:eastAsia="Arial" w:cs="Arial" w:ascii="Arial" w:hAnsi="Arial"/>
          <w:color w:val="auto"/>
          <w:spacing w:val="0"/>
          <w:w w:val="100"/>
          <w:sz w:val="20"/>
          <w:szCs w:val="20"/>
          <w:lang w:val="ro-RO"/>
        </w:rPr>
        <w:t xml:space="preserve"> activității după efectuarea concediului de lăuzie, va anunța angajatorul în scris cu privire la începutul și sfârșitul prezumat al perioadei de alăptare, anexând documente medicale eliberate de medicul de familie/ medicul specialist în acest sens care va cuprinde și recomandări cu privire la capacitatea de muncă a acesteia.</w:t>
      </w:r>
    </w:p>
    <w:p>
      <w:pPr>
        <w:pStyle w:val="Normal"/>
        <w:keepNext/>
        <w:widowControl/>
        <w:numPr>
          <w:ilvl w:val="0"/>
          <w:numId w:val="34"/>
        </w:numPr>
        <w:spacing w:before="0" w:after="4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Salariatele prevăzute la Art. 54 lit. a, b, c, din prezentul regulament au următoarele obligații:</w:t>
      </w:r>
    </w:p>
    <w:p>
      <w:pPr>
        <w:pStyle w:val="Normal"/>
        <w:widowControl/>
        <w:numPr>
          <w:ilvl w:val="0"/>
          <w:numId w:val="4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salariata mamă are obligația să efectueze, în cadrul concediului pentru sarcină și lăuzie, concediul postnatal de 42 de zile, după naștere, sau după caz 63 de zile ale concediului de lăuzie;</w:t>
      </w:r>
    </w:p>
    <w:p>
      <w:pPr>
        <w:pStyle w:val="Normal"/>
        <w:widowControl/>
        <w:numPr>
          <w:ilvl w:val="0"/>
          <w:numId w:val="43"/>
        </w:numPr>
        <w:spacing w:before="0" w:after="40"/>
        <w:ind w:hanging="360" w:left="1080"/>
        <w:jc w:val="left"/>
        <w:rPr>
          <w:rStyle w:val="tal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au</w:t>
      </w:r>
      <w:r>
        <w:rPr>
          <w:rStyle w:val="tal1"/>
          <w:rFonts w:eastAsia="Arial" w:cs="Arial" w:ascii="Arial" w:hAnsi="Arial"/>
          <w:color w:val="auto"/>
          <w:spacing w:val="0"/>
          <w:w w:val="100"/>
          <w:sz w:val="20"/>
          <w:szCs w:val="20"/>
          <w:lang w:val="ro-RO"/>
        </w:rPr>
        <w:t xml:space="preserve"> obligația de a se prezenta la medicul de familie/ medicul specialist, pentru eliberarea unui document medical care să le ateste starea, care va fi prezentat în copie angajatorului, în termen de maxim 5 zile lucrătoare de la data eliberării.</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Pentru toate activitățile susceptibile să prezinte un risc specific de expunere la agenți, procedee și condiții de muncă, a căror listă este prevăzută în anexa nr. 1 din O.U.G. nr. 96/ 2003, angajatorul este obligat să evalueze anual și să întocmească rapoarte de evaluare, cu participarea medicului de medicina muncii, cu privire la natura, gradul și durata de expunere a angajatelor în unitate pentru a depista orice risc pentru sănătatea și securitatea angajatelor și orice efect posibil asupra sarcinii sau alăptării și pentru a stabili măsurile care trebuie luate.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Angajatorii sunt obligați ca, în termen de 5 zile lucrătoare de la data întocmirii raportului, să înmâneze o copie a acestuia către reprezentanții salariaților (dacă este cazul);</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Angajatorii vor informa în scris salariatele asupra rezultatelor evaluării privind riscurile la care pot fi supuse la locurile lor de muncă, precum și asupra drepturilor care decurg din O.U.G. nr. 96/ 2003 prin informarea privind protecția maternității la locul de muncă (conform modelului din Normele Metodologice) în termen de cel mult 15 zile lucrătoare de la data întocmirii raportului de evaluare.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În termen de 10 zile lucrătoare de la data la care angajatorul a fost anunțat în scris de către o salariată că se află în una dintre situațiile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acesta are obligația să înștiințeze medicul de medicina muncii, precum și inspectoratul teritorial de muncă pe a cărui rază își desfășoară activitatea.</w:t>
      </w:r>
    </w:p>
    <w:p>
      <w:pPr>
        <w:pStyle w:val="Normal"/>
        <w:keepNext/>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Angajatorului îi revin următoarele obligații: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al1"/>
          <w:rFonts w:eastAsia="Arial" w:cs="Arial" w:ascii="Arial" w:hAnsi="Arial"/>
          <w:color w:val="auto"/>
          <w:spacing w:val="0"/>
          <w:w w:val="100"/>
          <w:sz w:val="20"/>
          <w:szCs w:val="20"/>
          <w:lang w:val="ro-RO"/>
        </w:rPr>
        <w:t>să prevină expunerea salariatelor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la riscuri ce le pot afecta sănătatea și securitatea, în situația în care rezultatele evaluării evidențiază astfel de riscuri;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să nu constrângă salariatele să efectueze o muncă dăunătoare sănătății sau stării lor de graviditate ori copilului nou-născut, după caz;</w:t>
      </w:r>
    </w:p>
    <w:p>
      <w:pPr>
        <w:pStyle w:val="Normal"/>
        <w:widowControl/>
        <w:numPr>
          <w:ilvl w:val="0"/>
          <w:numId w:val="13"/>
        </w:numPr>
        <w:spacing w:before="0" w:after="40"/>
        <w:ind w:hanging="360" w:left="1080"/>
        <w:jc w:val="left"/>
        <w:rPr>
          <w:rStyle w:val="tpa1"/>
          <w:rFonts w:ascii="Arial" w:hAnsi="Arial" w:cs="Arial"/>
          <w:sz w:val="18"/>
          <w:szCs w:val="18"/>
          <w:lang w:val="it-CH"/>
        </w:rPr>
      </w:pPr>
      <w:r>
        <w:rPr>
          <w:rStyle w:val="tpa1"/>
          <w:rFonts w:eastAsia="Arial" w:cs="Arial" w:ascii="Arial" w:hAnsi="Arial"/>
          <w:color w:val="auto"/>
          <w:spacing w:val="0"/>
          <w:w w:val="100"/>
          <w:sz w:val="20"/>
          <w:szCs w:val="20"/>
          <w:lang w:val="ro-RO"/>
        </w:rPr>
        <w:t>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Normal"/>
        <w:widowControl/>
        <w:numPr>
          <w:ilvl w:val="0"/>
          <w:numId w:val="13"/>
        </w:numPr>
        <w:spacing w:before="0" w:after="40"/>
        <w:ind w:hanging="360" w:left="1080"/>
        <w:jc w:val="left"/>
        <w:rPr>
          <w:rStyle w:val="tal1"/>
          <w:rFonts w:ascii="Arial" w:hAnsi="Arial" w:cs="Arial"/>
          <w:sz w:val="18"/>
          <w:szCs w:val="18"/>
          <w:lang w:val="it-CH"/>
        </w:rPr>
      </w:pPr>
      <w:r>
        <w:rPr>
          <w:rStyle w:val="tpa1"/>
          <w:rFonts w:eastAsia="Arial" w:cs="Arial" w:ascii="Arial" w:hAnsi="Arial"/>
          <w:color w:val="auto"/>
          <w:spacing w:val="0"/>
          <w:w w:val="100"/>
          <w:sz w:val="20"/>
          <w:szCs w:val="20"/>
          <w:lang w:val="ro-RO"/>
        </w:rPr>
        <w:t xml:space="preserve">să modifice locul de muncă al salariatelor prevăzute la </w:t>
      </w:r>
      <w:r>
        <w:rPr>
          <w:rStyle w:val="tal1"/>
          <w:rFonts w:eastAsia="Arial" w:cs="Arial" w:ascii="Arial" w:hAnsi="Arial"/>
          <w:color w:val="auto"/>
          <w:spacing w:val="0"/>
          <w:w w:val="100"/>
          <w:sz w:val="20"/>
          <w:szCs w:val="20"/>
          <w:lang w:val="ro-RO"/>
        </w:rPr>
        <w:t>Art.</w:t>
      </w:r>
      <w:r>
        <w:rPr>
          <w:rStyle w:val="tli1"/>
          <w:rFonts w:eastAsia="Arial" w:cs="Arial" w:ascii="Arial" w:hAnsi="Arial"/>
          <w:color w:val="auto"/>
          <w:spacing w:val="0"/>
          <w:w w:val="100"/>
          <w:sz w:val="20"/>
          <w:szCs w:val="20"/>
          <w:lang w:val="ro-RO"/>
        </w:rPr>
        <w:t xml:space="preserve"> 54 lit. a, b, c, din prezentul regulament</w:t>
      </w:r>
      <w:r>
        <w:rPr>
          <w:rStyle w:val="tpa1"/>
          <w:rFonts w:eastAsia="Arial" w:cs="Arial" w:ascii="Arial" w:hAnsi="Arial"/>
          <w:color w:val="auto"/>
          <w:spacing w:val="0"/>
          <w:w w:val="100"/>
          <w:sz w:val="20"/>
          <w:szCs w:val="20"/>
          <w:lang w:val="ro-RO"/>
        </w:rPr>
        <w:t xml:space="preserve"> care </w:t>
      </w:r>
      <w:r>
        <w:rPr>
          <w:rStyle w:val="tal1"/>
          <w:rFonts w:eastAsia="Arial" w:cs="Arial" w:ascii="Arial" w:hAnsi="Arial"/>
          <w:color w:val="auto"/>
          <w:spacing w:val="0"/>
          <w:w w:val="100"/>
          <w:sz w:val="20"/>
          <w:szCs w:val="20"/>
          <w:lang w:val="ro-RO"/>
        </w:rPr>
        <w:t>își desfășoară activitatea numai în poziția ortostatică sau în poziția așezat, astfel încât să li se asigure, la intervale regulate de timp, pauze și amenajări pentru repaus în poziție șezândă sau, respectiv, pentru mișcare, la recomandarea medicului de medicina muncii;</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gravide dispensă pentru consultații prenatale, constând în ore libere plătite salariatei, în cazul în care investigațiile medicale se pot efectua numai în timpul programului de lucru;</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care alăptează pauze de alăptare de câte o oră fiecare, în timpul programului de lucru/ să reducă durata timpului de muncă cu 2 ore zilnic, fără diminuarea drepturilor salariale;</w:t>
      </w:r>
    </w:p>
    <w:p>
      <w:pPr>
        <w:pStyle w:val="Normal"/>
        <w:widowControl/>
        <w:numPr>
          <w:ilvl w:val="0"/>
          <w:numId w:val="13"/>
        </w:numPr>
        <w:spacing w:before="0" w:after="40"/>
        <w:ind w:hanging="360" w:left="1080"/>
        <w:jc w:val="left"/>
        <w:rPr>
          <w:rStyle w:val="tpa1"/>
          <w:rFonts w:ascii="Arial" w:hAnsi="Arial" w:cs="Arial"/>
          <w:sz w:val="18"/>
          <w:szCs w:val="18"/>
          <w:lang w:val="fr-FR"/>
        </w:rPr>
      </w:pPr>
      <w:r>
        <w:rPr>
          <w:rStyle w:val="tal1"/>
          <w:rFonts w:eastAsia="Arial" w:cs="Arial" w:ascii="Arial" w:hAnsi="Arial"/>
          <w:color w:val="auto"/>
          <w:spacing w:val="0"/>
          <w:w w:val="100"/>
          <w:sz w:val="20"/>
          <w:szCs w:val="20"/>
          <w:lang w:val="ro-RO"/>
        </w:rPr>
        <w:t>să transfere la un alt loc de muncă, cu menținerea salariului de bază brut lunar, salariatele prevăzute la Art.</w:t>
      </w:r>
      <w:r>
        <w:rPr>
          <w:rStyle w:val="tli1"/>
          <w:rFonts w:eastAsia="Arial" w:cs="Arial" w:ascii="Arial" w:hAnsi="Arial"/>
          <w:color w:val="auto"/>
          <w:spacing w:val="0"/>
          <w:w w:val="100"/>
          <w:sz w:val="20"/>
          <w:szCs w:val="20"/>
          <w:lang w:val="ro-RO"/>
        </w:rPr>
        <w:t xml:space="preserve"> 54 lit. a, b, c, </w:t>
      </w:r>
      <w:r>
        <w:rPr>
          <w:rStyle w:val="tal1"/>
          <w:rFonts w:eastAsia="Arial" w:cs="Arial" w:ascii="Arial" w:hAnsi="Arial"/>
          <w:color w:val="auto"/>
          <w:spacing w:val="0"/>
          <w:w w:val="100"/>
          <w:sz w:val="20"/>
          <w:szCs w:val="20"/>
          <w:lang w:val="ro-RO"/>
        </w:rPr>
        <w:t>care desfășoară în mod curent muncă cu caracter insalubru sau greu de suportat.</w:t>
      </w:r>
    </w:p>
    <w:p>
      <w:pPr>
        <w:pStyle w:val="Normal"/>
        <w:widowControl/>
        <w:numPr>
          <w:ilvl w:val="0"/>
          <w:numId w:val="34"/>
        </w:numPr>
        <w:spacing w:before="0" w:after="40"/>
        <w:jc w:val="left"/>
        <w:rPr>
          <w:rStyle w:val="tpa1"/>
          <w:rFonts w:ascii="Arial" w:hAnsi="Arial" w:cs="Arial"/>
          <w:sz w:val="18"/>
          <w:szCs w:val="18"/>
          <w:lang w:val="fr-FR"/>
        </w:rPr>
      </w:pPr>
      <w:r>
        <w:rPr>
          <w:rStyle w:val="tpa1"/>
          <w:rFonts w:eastAsia="Arial" w:cs="Arial" w:ascii="Arial" w:hAnsi="Arial"/>
          <w:color w:val="auto"/>
          <w:spacing w:val="0"/>
          <w:w w:val="100"/>
          <w:sz w:val="20"/>
          <w:szCs w:val="20"/>
          <w:lang w:val="ro-RO"/>
        </w:rPr>
        <w:t xml:space="preserve">Pentru salariatele prevăzute la </w:t>
      </w:r>
      <w:r>
        <w:rPr>
          <w:rStyle w:val="tal1"/>
          <w:rFonts w:eastAsia="Arial" w:cs="Arial" w:ascii="Arial" w:hAnsi="Arial"/>
          <w:color w:val="auto"/>
          <w:spacing w:val="0"/>
          <w:w w:val="100"/>
          <w:sz w:val="20"/>
          <w:szCs w:val="20"/>
          <w:lang w:val="ro-RO"/>
        </w:rPr>
        <w:t>Art.</w:t>
      </w:r>
      <w:r>
        <w:rPr>
          <w:rStyle w:val="tli1"/>
          <w:rFonts w:eastAsia="Arial" w:cs="Arial" w:ascii="Arial" w:hAnsi="Arial"/>
          <w:color w:val="auto"/>
          <w:spacing w:val="0"/>
          <w:w w:val="100"/>
          <w:sz w:val="20"/>
          <w:szCs w:val="20"/>
          <w:lang w:val="ro-RO"/>
        </w:rPr>
        <w:t xml:space="preserve"> 54 lit. a, b, c, din prezentul regulament</w:t>
      </w:r>
      <w:r>
        <w:rPr>
          <w:rStyle w:val="tpa1"/>
          <w:rFonts w:eastAsia="Arial" w:cs="Arial" w:ascii="Arial" w:hAnsi="Arial"/>
          <w:color w:val="auto"/>
          <w:spacing w:val="0"/>
          <w:w w:val="100"/>
          <w:sz w:val="20"/>
          <w:szCs w:val="20"/>
          <w:lang w:val="ro-RO"/>
        </w:rPr>
        <w:t xml:space="preserve"> care desfășoară activitate care </w:t>
      </w:r>
      <w:r>
        <w:rPr>
          <w:rFonts w:eastAsia="Arial" w:cs="Arial" w:ascii="Arial" w:hAnsi="Arial"/>
          <w:color w:val="auto"/>
          <w:spacing w:val="0"/>
          <w:w w:val="100"/>
          <w:sz w:val="20"/>
          <w:szCs w:val="20"/>
          <w:lang w:val="ro-RO"/>
        </w:rPr>
        <w:t xml:space="preserve">prezintă riscuri pentru sănătate sau securitate ori cu repercusiuni asupra sarcinii și alăptării, angajatorul trebuie </w:t>
      </w:r>
      <w:r>
        <w:rPr>
          <w:rStyle w:val="tpa1"/>
          <w:rFonts w:eastAsia="Arial" w:cs="Arial" w:ascii="Arial" w:hAnsi="Arial"/>
          <w:color w:val="auto"/>
          <w:spacing w:val="0"/>
          <w:w w:val="100"/>
          <w:sz w:val="20"/>
          <w:szCs w:val="20"/>
          <w:lang w:val="ro-RO"/>
        </w:rPr>
        <w:t>să modifice în mod corespunzător condițiile și/ sau orarul de muncă ori, să repartizeze la alt loc de muncă, conform recomandării medicului de medicina muncii sau a medicului de familie, cu menținerea veniturilor salariale.</w:t>
      </w:r>
    </w:p>
    <w:p>
      <w:pPr>
        <w:pStyle w:val="Normal"/>
        <w:keepNext/>
        <w:widowControl/>
        <w:numPr>
          <w:ilvl w:val="0"/>
          <w:numId w:val="34"/>
        </w:numPr>
        <w:spacing w:before="0" w:after="40"/>
        <w:jc w:val="left"/>
        <w:rPr>
          <w:rFonts w:ascii="Arial" w:hAnsi="Arial" w:cs="Arial"/>
          <w:sz w:val="18"/>
          <w:szCs w:val="18"/>
          <w:lang w:val="fr-FR"/>
        </w:rPr>
      </w:pPr>
      <w:r>
        <w:rPr>
          <w:rStyle w:val="tal1"/>
          <w:rFonts w:eastAsia="Arial" w:cs="Arial" w:ascii="Arial" w:hAnsi="Arial"/>
          <w:color w:val="auto"/>
          <w:spacing w:val="0"/>
          <w:w w:val="100"/>
          <w:sz w:val="20"/>
          <w:szCs w:val="20"/>
          <w:lang w:val="ro-RO"/>
        </w:rPr>
        <w:t>În cazul în care angajatorul, din motive justificate în mod obiectiv, nu poate să îndeplinească obligația prevăzută la Art. 60, salariatele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xml:space="preserve"> au dreptul la concediu de risc maternal, numai dacă solicitarea este însoțită de documentul medical, astfel:</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până în a 63-a zi anterioară datei estimate a nașterii copilului, respectiv datei intrării în concediul de maternitate;</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după expirarea concediului postnatal obligatoriu și dacă este cazul, până la data intrării în concediu pentru creșterea copilului în vârstă de până la 2 ani sau în cazul copilului cu handicap, până la 3 ani;</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înainte sau după nașterea copilului, pentru salariata care nu îndeplinește condițiile pentru a beneficia de concediul de maternitate.</w:t>
      </w:r>
    </w:p>
    <w:p>
      <w:pPr>
        <w:pStyle w:val="Normal"/>
        <w:widowControl/>
        <w:numPr>
          <w:ilvl w:val="0"/>
          <w:numId w:val="34"/>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Concediul de risc maternal se poate acorda, în întregime sau fracționat, pe o perioadă ce nu poate depăși 120 de zile calendaristice, de către medicul de familie sau de medicul specialist, care va elibera un certificat medical în acest sens, dar nu poate fi acordat simultan cu alte concedii prevăzute de legislația privind sistemul public de pensii și alte drepturi de asigurări sociale.</w:t>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Century Gothic">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Arial">
    <w:charset w:val="01"/>
    <w:family w:val="roman"/>
    <w:pitch w:val="variable"/>
  </w:font>
  <w:font w:name="Verdana">
    <w:charset w:val="01"/>
    <w:family w:val="swiss"/>
    <w:pitch w:val="variable"/>
  </w:font>
  <w:font w:name="Symbol">
    <w:charset w:val="02"/>
    <w:family w:val="auto"/>
    <w:pitch w:val="default"/>
  </w:font>
  <w:font w:name="Wingdings">
    <w:charset w:val="02"/>
    <w:family w:val="auto"/>
    <w:pitch w:val="default"/>
  </w:font>
  <w:font w:name="Courier New">
    <w:charset w:val="01"/>
    <w:family w:val="modern"/>
    <w:pitch w:val="fixed"/>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Art. %1."/>
      <w:lvlJc w:val="left"/>
      <w:pPr>
        <w:tabs>
          <w:tab w:val="num" w:pos="1080"/>
        </w:tabs>
        <w:ind w:left="0" w:hanging="0"/>
      </w:pPr>
      <w:rPr>
        <w:rFonts w:ascii="Arial" w:hAnsi="Arial" w:cs="Arial"/>
        <w:b/>
        <w:i w:val="false"/>
        <w:sz w:val="18"/>
        <w:szCs w:val="18"/>
      </w:rPr>
    </w:lvl>
    <w:lvl w:ilvl="1">
      <w:start w:val="1"/>
      <w:numFmt w:val="decimal"/>
      <w:lvlText w:val="%2."/>
      <w:lvlJc w:val="left"/>
      <w:pPr>
        <w:tabs>
          <w:tab w:val="num" w:pos="720"/>
        </w:tabs>
        <w:ind w:left="720" w:hanging="360"/>
      </w:pPr>
      <w:rPr>
        <w:b/>
        <w:i w:val="false"/>
        <w:sz w:val="18"/>
        <w:szCs w:val="18"/>
      </w:rPr>
    </w:lvl>
    <w:lvl w:ilvl="2">
      <w:start w:val="1"/>
      <w:numFmt w:val="lowerLetter"/>
      <w:lvlText w:val="%3)"/>
      <w:lvlJc w:val="left"/>
      <w:pPr>
        <w:tabs>
          <w:tab w:val="num" w:pos="720"/>
        </w:tabs>
        <w:ind w:left="720" w:hanging="360"/>
      </w:pPr>
      <w:rPr>
        <w:b/>
        <w:i w:val="false"/>
        <w:sz w:val="18"/>
        <w:szCs w:val="18"/>
      </w:rPr>
    </w:lvl>
    <w:lvl w:ilvl="3">
      <w:start w:val="1"/>
      <w:numFmt w:val="lowerLetter"/>
      <w:lvlText w:val="%4)"/>
      <w:lvlJc w:val="left"/>
      <w:pPr>
        <w:tabs>
          <w:tab w:val="num" w:pos="720"/>
        </w:tabs>
        <w:ind w:left="720" w:hanging="360"/>
      </w:pPr>
      <w:rPr>
        <w:b/>
        <w:i w:val="false"/>
        <w:sz w:val="18"/>
        <w:szCs w:val="18"/>
      </w:rPr>
    </w:lvl>
    <w:lvl w:ilvl="4">
      <w:start w:val="1"/>
      <w:numFmt w:val="lowerLetter"/>
      <w:lvlText w:val="%5."/>
      <w:lvlJc w:val="left"/>
      <w:pPr>
        <w:tabs>
          <w:tab w:val="num" w:pos="3528"/>
        </w:tabs>
        <w:ind w:left="3528" w:hanging="360"/>
      </w:pPr>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10">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Symbol" w:hAnsi="Symbol" w:cs="Symbol" w:hint="default"/>
        <w:b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lowerLetter"/>
      <w:lvlText w:val="%1)"/>
      <w:lvlJc w:val="left"/>
      <w:pPr>
        <w:tabs>
          <w:tab w:val="num" w:pos="720"/>
        </w:tabs>
        <w:ind w:left="720" w:hanging="360"/>
      </w:pPr>
      <w:rPr>
        <w:rFonts w:ascii="Arial" w:hAnsi="Arial" w:eastAsia="Times New Roman" w:cs="Arial"/>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720"/>
        </w:tabs>
        <w:ind w:left="720" w:hanging="360"/>
      </w:pPr>
      <w:rPr>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Art. %1."/>
      <w:lvlJc w:val="left"/>
      <w:pPr>
        <w:tabs>
          <w:tab w:val="num" w:pos="1320"/>
        </w:tabs>
        <w:ind w:left="240" w:hanging="0"/>
      </w:pPr>
      <w:rPr>
        <w:rFonts w:ascii="Arial" w:hAnsi="Arial" w:cs="Arial"/>
        <w:b/>
        <w:i w:val="false"/>
        <w:sz w:val="18"/>
        <w:szCs w:val="18"/>
        <w:lang w:val="it-IT"/>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1"/>
      <w:numFmt w:val="lowerLetter"/>
      <w:lvlText w:val="%3)"/>
      <w:lvlJc w:val="left"/>
      <w:pPr>
        <w:tabs>
          <w:tab w:val="num" w:pos="720"/>
        </w:tabs>
        <w:ind w:left="720" w:hanging="360"/>
      </w:pPr>
      <w:rPr>
        <w:rFonts w:ascii="Arial" w:hAnsi="Arial" w:cs="Arial"/>
        <w:b/>
        <w:i w:val="false"/>
        <w:sz w:val="18"/>
        <w:szCs w:val="18"/>
        <w:lang w:val="it-IT"/>
      </w:rPr>
    </w:lvl>
    <w:lvl w:ilvl="3">
      <w:start w:val="1"/>
      <w:numFmt w:val="decimal"/>
      <w:lvlText w:val="%4."/>
      <w:lvlJc w:val="left"/>
      <w:pPr>
        <w:tabs>
          <w:tab w:val="num" w:pos="720"/>
        </w:tabs>
        <w:ind w:left="720" w:hanging="360"/>
      </w:pPr>
      <w:rPr>
        <w:b/>
        <w:i w:val="false"/>
        <w:sz w:val="18"/>
        <w:szCs w:val="18"/>
        <w:lang w:val="ro-RO"/>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lowerLetter"/>
      <w:lvlText w:val="%1)"/>
      <w:lvlJc w:val="left"/>
      <w:pPr>
        <w:tabs>
          <w:tab w:val="num" w:pos="720"/>
        </w:tabs>
        <w:ind w:left="720" w:hanging="360"/>
      </w:pPr>
      <w:rPr>
        <w:rFonts w:ascii="Arial" w:hAnsi="Arial" w:eastAsia="Times New Roman" w:cs="Arial"/>
        <w:b/>
      </w:rPr>
    </w:lvl>
    <w:lvl w:ilvl="1">
      <w:start w:val="1"/>
      <w:numFmt w:val="bullet"/>
      <w:lvlText w:val=""/>
      <w:lvlJc w:val="left"/>
      <w:pPr>
        <w:tabs>
          <w:tab w:val="num" w:pos="720"/>
        </w:tabs>
        <w:ind w:left="720" w:hanging="360"/>
      </w:pPr>
      <w:rPr>
        <w:rFonts w:ascii="Symbol" w:hAnsi="Symbol" w:cs="Symbol" w:hint="default"/>
        <w:b/>
        <w:sz w:val="18"/>
        <w:szCs w:val="18"/>
      </w:rPr>
    </w:lvl>
    <w:lvl w:ilvl="2">
      <w:start w:val="1"/>
      <w:numFmt w:val="bullet"/>
      <w:lvlText w:val=""/>
      <w:lvlJc w:val="left"/>
      <w:pPr>
        <w:tabs>
          <w:tab w:val="num" w:pos="786"/>
        </w:tabs>
        <w:ind w:left="786"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Symbol" w:hAnsi="Symbol" w:cs="Symbol" w:hint="default"/>
      </w:rPr>
    </w:lvl>
    <w:lvl w:ilvl="2">
      <w:start w:val="1"/>
      <w:numFmt w:val="decimal"/>
      <w:lvlText w:val="Art.%3."/>
      <w:lvlJc w:val="left"/>
      <w:pPr>
        <w:tabs>
          <w:tab w:val="num" w:pos="0"/>
        </w:tabs>
        <w:ind w:left="0" w:hanging="0"/>
      </w:pPr>
      <w:rPr>
        <w:rFonts w:ascii="Times New Roman" w:hAnsi="Times New Roman" w:cs="Times New Roman"/>
        <w:b/>
        <w:i w:val="false"/>
        <w:sz w:val="22"/>
        <w:szCs w:val="22"/>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0">
    <w:lvl w:ilvl="0">
      <w:start w:val="1"/>
      <w:numFmt w:val="lowerLetter"/>
      <w:lvlText w:val="%1)"/>
      <w:lvlJc w:val="left"/>
      <w:pPr>
        <w:tabs>
          <w:tab w:val="num" w:pos="720"/>
        </w:tabs>
        <w:ind w:left="720" w:hanging="360"/>
      </w:pPr>
      <w:rPr>
        <w:b/>
        <w:lang w:val="ro-RO"/>
      </w:rPr>
    </w:lvl>
    <w:lvl w:ilvl="1">
      <w:start w:val="1"/>
      <w:numFmt w:val="decimal"/>
      <w:lvlText w:val="Art.%2."/>
      <w:lvlJc w:val="left"/>
      <w:pPr>
        <w:tabs>
          <w:tab w:val="num" w:pos="1080"/>
        </w:tabs>
        <w:ind w:left="1080" w:hanging="0"/>
      </w:pPr>
      <w:rPr>
        <w:b/>
        <w:i w:val="false"/>
        <w:sz w:val="22"/>
        <w:szCs w:val="22"/>
      </w:rPr>
    </w:lvl>
    <w:lvl w:ilvl="2">
      <w:start w:val="1"/>
      <w:numFmt w:val="lowerLetter"/>
      <w:lvlText w:val="%3)"/>
      <w:lvlJc w:val="left"/>
      <w:pPr>
        <w:tabs>
          <w:tab w:val="num" w:pos="720"/>
        </w:tabs>
        <w:ind w:left="720" w:hanging="360"/>
      </w:pPr>
      <w:rPr>
        <w:b/>
      </w:rPr>
    </w:lvl>
    <w:lvl w:ilvl="3">
      <w:start w:val="2"/>
      <w:numFmt w:val="bullet"/>
      <w:lvlText w:val="-"/>
      <w:lvlJc w:val="left"/>
      <w:pPr>
        <w:tabs>
          <w:tab w:val="num" w:pos="2880"/>
        </w:tabs>
        <w:ind w:left="2880" w:hanging="360"/>
      </w:pPr>
      <w:rPr>
        <w:rFonts w:ascii="Times New Roman" w:hAnsi="Times New Roman" w:cs="Times New Roman" w:hint="default"/>
      </w:rPr>
    </w:lvl>
    <w:lvl w:ilvl="4">
      <w:start w:val="1"/>
      <w:numFmt w:val="decimal"/>
      <w:lvlText w:val="(%5)"/>
      <w:lvlJc w:val="left"/>
      <w:pPr>
        <w:tabs>
          <w:tab w:val="num" w:pos="3600"/>
        </w:tabs>
        <w:ind w:left="3600" w:hanging="360"/>
      </w:pPr>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1">
    <w:lvl w:ilvl="0">
      <w:start w:val="1"/>
      <w:numFmt w:val="lowerLetter"/>
      <w:lvlText w:val="%1)"/>
      <w:lvlJc w:val="left"/>
      <w:pPr>
        <w:tabs>
          <w:tab w:val="num" w:pos="720"/>
        </w:tabs>
        <w:ind w:left="720" w:hanging="360"/>
      </w:pPr>
      <w:rPr>
        <w:rFonts w:ascii="Arial" w:hAnsi="Arial" w:cs="Arial"/>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7">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52">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0"/>
    <w:lvlOverride w:ilvl="0">
      <w:startOverride w:val="1"/>
    </w:lvlOverride>
  </w:num>
  <w:num w:numId="53">
    <w:abstractNumId w:val="5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lang w:val="en-US"/>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1z0">
    <w:name w:val="WW8Num1z0"/>
    <w:rPr>
      <w:rFonts w:ascii="Arial" w:hAnsi="Arial" w:cs="Arial"/>
      <w:b/>
      <w:i w:val="false"/>
      <w:sz w:val="18"/>
      <w:szCs w:val="18"/>
      <w:lang w:val="it-IT"/>
    </w:rPr>
  </w:style>
  <w:style w:type="character" w:styleId="WW8Num2z0">
    <w:name w:val="WW8Num2z0"/>
    <w:rPr>
      <w:b/>
    </w:rPr>
  </w:style>
  <w:style w:type="character" w:styleId="WW8Num3z0">
    <w:name w:val="WW8Num3z0"/>
    <w:rPr>
      <w:rFonts w:ascii="Arial" w:hAnsi="Arial" w:cs="Arial"/>
      <w:b/>
      <w:i w:val="false"/>
      <w:sz w:val="18"/>
      <w:szCs w:val="18"/>
      <w:lang w:val="it-IT"/>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7z0">
    <w:name w:val="WW8Num7z0"/>
    <w:rPr>
      <w:b/>
      <w:i w:val="false"/>
      <w:sz w:val="18"/>
      <w:szCs w:val="18"/>
    </w:rPr>
  </w:style>
  <w:style w:type="character" w:styleId="WW8Num7z3">
    <w:name w:val="WW8Num7z3"/>
    <w:rPr>
      <w:b/>
    </w:rPr>
  </w:style>
  <w:style w:type="character" w:styleId="WW8Num8z0">
    <w:name w:val="WW8Num8z0"/>
    <w:rPr>
      <w:rFonts w:ascii="Arial" w:hAnsi="Arial" w:cs="Arial"/>
      <w:b/>
      <w:i w:val="false"/>
      <w:sz w:val="18"/>
      <w:szCs w:val="18"/>
      <w:lang w:val="it-IT"/>
    </w:rPr>
  </w:style>
  <w:style w:type="character" w:styleId="WW8Num9z0">
    <w:name w:val="WW8Num9z0"/>
    <w:rPr>
      <w:rFonts w:ascii="Arial" w:hAnsi="Arial" w:cs="Arial"/>
      <w:b/>
      <w:i w:val="false"/>
      <w:sz w:val="18"/>
      <w:szCs w:val="18"/>
    </w:rPr>
  </w:style>
  <w:style w:type="character" w:styleId="WW8Num9z1">
    <w:name w:val="WW8Num9z1"/>
    <w:rPr>
      <w:b/>
      <w:i w:val="false"/>
      <w:sz w:val="18"/>
      <w:szCs w:val="18"/>
    </w:rPr>
  </w:style>
  <w:style w:type="character" w:styleId="WW8Num10z0">
    <w:name w:val="WW8Num10z0"/>
    <w:rPr>
      <w:b/>
    </w:rPr>
  </w:style>
  <w:style w:type="character" w:styleId="WW8Num10z1">
    <w:name w:val="WW8Num10z1"/>
    <w:rPr>
      <w:rFonts w:ascii="Symbol" w:hAnsi="Symbol" w:cs="Symbol"/>
      <w:b w:val="false"/>
      <w:sz w:val="18"/>
      <w:szCs w:val="18"/>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0z4">
    <w:name w:val="WW8Num10z4"/>
    <w:rPr>
      <w:rFonts w:ascii="Courier New" w:hAnsi="Courier New" w:cs="Courier New"/>
    </w:rPr>
  </w:style>
  <w:style w:type="character" w:styleId="WW8Num11z0">
    <w:name w:val="WW8Num11z0"/>
    <w:rPr>
      <w:rFonts w:ascii="Arial" w:hAnsi="Arial" w:cs="Arial"/>
      <w:b/>
      <w:i w:val="false"/>
      <w:spacing w:val="0"/>
      <w:w w:val="100"/>
      <w:kern w:val="2"/>
      <w:position w:val="0"/>
      <w:sz w:val="22"/>
      <w:szCs w:val="22"/>
      <w:vertAlign w:val="baseline"/>
    </w:rPr>
  </w:style>
  <w:style w:type="character" w:styleId="WW8Num11z1">
    <w:name w:val="WW8Num11z1"/>
    <w:rPr>
      <w:lang w:val="fr-FR"/>
    </w:rPr>
  </w:style>
  <w:style w:type="character" w:styleId="WW8Num11z2">
    <w:name w:val="WW8Num11z2"/>
    <w:rPr/>
  </w:style>
  <w:style w:type="character" w:styleId="WW8Num11z5">
    <w:name w:val="WW8Num11z5"/>
    <w:rPr>
      <w:b/>
    </w:rPr>
  </w:style>
  <w:style w:type="character" w:styleId="WW8Num12z0">
    <w:name w:val="WW8Num12z0"/>
    <w:rPr>
      <w:rFonts w:ascii="Arial" w:hAnsi="Arial" w:cs="Arial"/>
      <w:b/>
      <w:i w:val="false"/>
      <w:sz w:val="18"/>
      <w:szCs w:val="18"/>
      <w:lang w:val="it-IT"/>
    </w:rPr>
  </w:style>
  <w:style w:type="character" w:styleId="WW8Num13z0">
    <w:name w:val="WW8Num13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eastAsia="Times New Roman" w:cs="Arial"/>
      <w:b/>
      <w:i w:val="false"/>
      <w:sz w:val="18"/>
      <w:szCs w:val="18"/>
    </w:rPr>
  </w:style>
  <w:style w:type="character" w:styleId="WW8Num17z0">
    <w:name w:val="WW8Num17z0"/>
    <w:rPr>
      <w:b/>
    </w:rPr>
  </w:style>
  <w:style w:type="character" w:styleId="WW8Num17z1">
    <w:name w:val="WW8Num17z1"/>
    <w:rPr>
      <w:rFonts w:ascii="Courier New" w:hAnsi="Courier New" w:cs="Courier New"/>
    </w:rPr>
  </w:style>
  <w:style w:type="character" w:styleId="WW8Num17z2">
    <w:name w:val="WW8Num17z2"/>
    <w:rPr>
      <w:rFonts w:ascii="Wingdings" w:hAnsi="Wingdings" w:cs="Wingdings"/>
    </w:rPr>
  </w:style>
  <w:style w:type="character" w:styleId="WW8Num17z3">
    <w:name w:val="WW8Num17z3"/>
    <w:rPr>
      <w:rFonts w:ascii="Symbol" w:hAnsi="Symbol" w:cs="Symbol"/>
    </w:rPr>
  </w:style>
  <w:style w:type="character" w:styleId="WW8Num18z0">
    <w:name w:val="WW8Num18z0"/>
    <w:rPr>
      <w:b/>
      <w:i w:val="false"/>
      <w:sz w:val="18"/>
      <w:szCs w:val="18"/>
    </w:rPr>
  </w:style>
  <w:style w:type="character" w:styleId="WW8Num19z0">
    <w:name w:val="WW8Num19z0"/>
    <w:rPr>
      <w:rFonts w:ascii="Arial" w:hAnsi="Arial" w:eastAsia="Times New Roman" w:cs="Arial"/>
      <w:b/>
    </w:rPr>
  </w:style>
  <w:style w:type="character" w:styleId="WW8Num19z1">
    <w:name w:val="WW8Num19z1"/>
    <w:rPr>
      <w:rFonts w:ascii="Courier New" w:hAnsi="Courier New" w:cs="Courier New"/>
    </w:rPr>
  </w:style>
  <w:style w:type="character" w:styleId="WW8Num19z2">
    <w:name w:val="WW8Num19z2"/>
    <w:rPr>
      <w:rFonts w:ascii="Wingdings" w:hAnsi="Wingdings" w:cs="Wingdings"/>
    </w:rPr>
  </w:style>
  <w:style w:type="character" w:styleId="WW8Num19z3">
    <w:name w:val="WW8Num19z3"/>
    <w:rPr>
      <w:rFonts w:ascii="Symbol" w:hAnsi="Symbol" w:cs="Symbol"/>
    </w:rPr>
  </w:style>
  <w:style w:type="character" w:styleId="WW8Num20z0">
    <w:name w:val="WW8Num20z0"/>
    <w:rPr>
      <w:b/>
      <w:sz w:val="18"/>
      <w:szCs w:val="18"/>
    </w:rPr>
  </w:style>
  <w:style w:type="character" w:styleId="WW8Num21z0">
    <w:name w:val="WW8Num21z0"/>
    <w:rPr>
      <w:b/>
      <w:i w:val="false"/>
      <w:sz w:val="18"/>
      <w:szCs w:val="18"/>
      <w:lang w:val="ro-RO"/>
    </w:rPr>
  </w:style>
  <w:style w:type="character" w:styleId="WW8Num22z0">
    <w:name w:val="WW8Num22z0"/>
    <w:rPr>
      <w:rFonts w:ascii="Arial" w:hAnsi="Arial" w:cs="Arial"/>
      <w:b/>
      <w:i w:val="false"/>
      <w:sz w:val="18"/>
      <w:szCs w:val="18"/>
      <w:lang w:val="it-IT"/>
    </w:rPr>
  </w:style>
  <w:style w:type="character" w:styleId="WW8Num22z1">
    <w:name w:val="WW8Num22z1"/>
    <w:rPr>
      <w:rFonts w:ascii="Arial" w:hAnsi="Arial" w:cs="Arial"/>
      <w:b/>
      <w:i w:val="false"/>
      <w:sz w:val="20"/>
      <w:szCs w:val="20"/>
      <w:lang w:val="es-ES_tradnl"/>
    </w:rPr>
  </w:style>
  <w:style w:type="character" w:styleId="WW8Num22z2">
    <w:name w:val="WW8Num22z2"/>
    <w:rPr>
      <w:rFonts w:ascii="Arial" w:hAnsi="Arial" w:cs="Arial"/>
      <w:b/>
      <w:i w:val="false"/>
      <w:sz w:val="18"/>
      <w:szCs w:val="18"/>
      <w:lang w:val="it-IT"/>
    </w:rPr>
  </w:style>
  <w:style w:type="character" w:styleId="WW8Num22z3">
    <w:name w:val="WW8Num22z3"/>
    <w:rPr>
      <w:b/>
      <w:i w:val="false"/>
      <w:sz w:val="18"/>
      <w:szCs w:val="18"/>
      <w:lang w:val="ro-RO"/>
    </w:rPr>
  </w:style>
  <w:style w:type="character" w:styleId="WW8Num22z4">
    <w:name w:val="WW8Num22z4"/>
    <w:rPr>
      <w:b/>
    </w:rPr>
  </w:style>
  <w:style w:type="character" w:styleId="WW8Num22z5">
    <w:name w:val="WW8Num22z5"/>
    <w:rPr>
      <w:b/>
    </w:rPr>
  </w:style>
  <w:style w:type="character" w:styleId="WW8Num23z0">
    <w:name w:val="WW8Num23z0"/>
    <w:rPr>
      <w:rFonts w:ascii="Arial" w:hAnsi="Arial" w:cs="Arial"/>
      <w:b/>
      <w:i w:val="false"/>
      <w:sz w:val="18"/>
      <w:szCs w:val="18"/>
      <w:lang w:val="it-IT"/>
    </w:rPr>
  </w:style>
  <w:style w:type="character" w:styleId="WW8Num24z0">
    <w:name w:val="WW8Num24z0"/>
    <w:rPr>
      <w:b/>
      <w:i w:val="false"/>
      <w:sz w:val="18"/>
      <w:szCs w:val="18"/>
      <w:lang w:val="ro-RO"/>
    </w:rPr>
  </w:style>
  <w:style w:type="character" w:styleId="WW8Num25z0">
    <w:name w:val="WW8Num25z0"/>
    <w:rPr>
      <w:rFonts w:ascii="Arial" w:hAnsi="Arial" w:eastAsia="Times New Roman" w:cs="Arial"/>
      <w:b/>
    </w:rPr>
  </w:style>
  <w:style w:type="character" w:styleId="WW8Num25z1">
    <w:name w:val="WW8Num25z1"/>
    <w:rPr>
      <w:rFonts w:ascii="Courier New" w:hAnsi="Courier New" w:cs="Courier New"/>
    </w:rPr>
  </w:style>
  <w:style w:type="character" w:styleId="WW8Num25z2">
    <w:name w:val="WW8Num25z2"/>
    <w:rPr>
      <w:rFonts w:ascii="Wingdings" w:hAnsi="Wingdings" w:cs="Wingdings"/>
    </w:rPr>
  </w:style>
  <w:style w:type="character" w:styleId="WW8Num25z3">
    <w:name w:val="WW8Num25z3"/>
    <w:rPr>
      <w:rFonts w:ascii="Symbol" w:hAnsi="Symbol" w:cs="Symbol"/>
    </w:rPr>
  </w:style>
  <w:style w:type="character" w:styleId="WW8Num26z0">
    <w:name w:val="WW8Num26z0"/>
    <w:rPr>
      <w:rFonts w:ascii="Times New Roman" w:hAnsi="Times New Roman" w:cs="Times New Roman"/>
      <w:b/>
      <w:sz w:val="24"/>
    </w:rPr>
  </w:style>
  <w:style w:type="character" w:styleId="WW8Num27z0">
    <w:name w:val="WW8Num27z0"/>
    <w:rPr>
      <w:b/>
    </w:rPr>
  </w:style>
  <w:style w:type="character" w:styleId="WW8Num28z0">
    <w:name w:val="WW8Num28z0"/>
    <w:rPr>
      <w:b/>
      <w:sz w:val="18"/>
      <w:szCs w:val="18"/>
    </w:rPr>
  </w:style>
  <w:style w:type="character" w:styleId="WW8Num29z0">
    <w:name w:val="WW8Num29z0"/>
    <w:rPr>
      <w:rFonts w:ascii="Arial" w:hAnsi="Arial" w:cs="Arial"/>
      <w:b/>
      <w:i w:val="false"/>
      <w:sz w:val="18"/>
      <w:szCs w:val="18"/>
      <w:lang w:val="it-IT"/>
    </w:rPr>
  </w:style>
  <w:style w:type="character" w:styleId="WW8Num30z0">
    <w:name w:val="WW8Num30z0"/>
    <w:rPr>
      <w:b/>
    </w:rPr>
  </w:style>
  <w:style w:type="character" w:styleId="WW8Num31z0">
    <w:name w:val="WW8Num31z0"/>
    <w:rPr>
      <w:rFonts w:ascii="Arial" w:hAnsi="Arial" w:cs="Arial"/>
      <w:b/>
      <w:i w:val="false"/>
      <w:sz w:val="18"/>
      <w:szCs w:val="18"/>
      <w:lang w:val="it-IT"/>
    </w:rPr>
  </w:style>
  <w:style w:type="character" w:styleId="WW8Num32z0">
    <w:name w:val="WW8Num32z0"/>
    <w:rPr>
      <w:b/>
      <w:i w:val="false"/>
      <w:sz w:val="18"/>
      <w:szCs w:val="18"/>
      <w:lang w:val="ro-RO"/>
    </w:rPr>
  </w:style>
  <w:style w:type="character" w:styleId="WW8Num33z0">
    <w:name w:val="WW8Num33z0"/>
    <w:rPr>
      <w:rFonts w:ascii="Arial" w:hAnsi="Arial" w:eastAsia="Times New Roman" w:cs="Arial"/>
      <w:b/>
    </w:rPr>
  </w:style>
  <w:style w:type="character" w:styleId="WW8Num33z1">
    <w:name w:val="WW8Num33z1"/>
    <w:rPr>
      <w:rFonts w:ascii="Symbol" w:hAnsi="Symbol" w:cs="Symbol"/>
      <w:b/>
      <w:sz w:val="18"/>
      <w:szCs w:val="18"/>
    </w:rPr>
  </w:style>
  <w:style w:type="character" w:styleId="WW8Num33z2">
    <w:name w:val="WW8Num33z2"/>
    <w:rPr>
      <w:rFonts w:ascii="Wingdings" w:hAnsi="Wingdings" w:cs="Wingdings"/>
    </w:rPr>
  </w:style>
  <w:style w:type="character" w:styleId="WW8Num33z3">
    <w:name w:val="WW8Num33z3"/>
    <w:rPr>
      <w:rFonts w:ascii="Symbol" w:hAnsi="Symbol" w:cs="Symbol"/>
    </w:rPr>
  </w:style>
  <w:style w:type="character" w:styleId="WW8Num33z4">
    <w:name w:val="WW8Num33z4"/>
    <w:rPr>
      <w:rFonts w:ascii="Courier New" w:hAnsi="Courier New" w:cs="Courier New"/>
    </w:rPr>
  </w:style>
  <w:style w:type="character" w:styleId="WW8Num33z5">
    <w:name w:val="WW8Num33z5"/>
    <w:rPr>
      <w:rFonts w:ascii="Wingdings" w:hAnsi="Wingdings" w:cs="Wingdings"/>
    </w:rPr>
  </w:style>
  <w:style w:type="character" w:styleId="WW8Num34z0">
    <w:name w:val="WW8Num34z0"/>
    <w:rPr>
      <w:rFonts w:ascii="Arial" w:hAnsi="Arial" w:cs="Arial"/>
      <w:b/>
      <w:i w:val="false"/>
      <w:sz w:val="18"/>
      <w:szCs w:val="18"/>
      <w:lang w:val="it-IT"/>
    </w:rPr>
  </w:style>
  <w:style w:type="character" w:styleId="WW8Num35z0">
    <w:name w:val="WW8Num35z0"/>
    <w:rPr>
      <w:rFonts w:ascii="Arial" w:hAnsi="Arial" w:eastAsia="Times New Roman" w:cs="Arial"/>
      <w:b/>
    </w:rPr>
  </w:style>
  <w:style w:type="character" w:styleId="WW8Num35z1">
    <w:name w:val="WW8Num35z1"/>
    <w:rPr>
      <w:rFonts w:ascii="Courier New" w:hAnsi="Courier New" w:cs="Courier New"/>
    </w:rPr>
  </w:style>
  <w:style w:type="character" w:styleId="WW8Num35z2">
    <w:name w:val="WW8Num35z2"/>
    <w:rPr>
      <w:rFonts w:ascii="Wingdings" w:hAnsi="Wingdings" w:cs="Wingdings"/>
    </w:rPr>
  </w:style>
  <w:style w:type="character" w:styleId="WW8Num35z3">
    <w:name w:val="WW8Num35z3"/>
    <w:rPr>
      <w:rFonts w:ascii="Symbol" w:hAnsi="Symbol" w:cs="Symbol"/>
    </w:rPr>
  </w:style>
  <w:style w:type="character" w:styleId="WW8Num36z0">
    <w:name w:val="WW8Num36z0"/>
    <w:rPr>
      <w:rFonts w:ascii="Arial" w:hAnsi="Arial" w:cs="Arial"/>
      <w:b/>
      <w:i w:val="false"/>
      <w:sz w:val="18"/>
      <w:szCs w:val="18"/>
      <w:lang w:val="it-IT"/>
    </w:rPr>
  </w:style>
  <w:style w:type="character" w:styleId="WW8Num37z0">
    <w:name w:val="WW8Num37z0"/>
    <w:rPr>
      <w:b/>
    </w:rPr>
  </w:style>
  <w:style w:type="character" w:styleId="WW8Num38z0">
    <w:name w:val="WW8Num38z0"/>
    <w:rPr>
      <w:rFonts w:ascii="Times New Roman" w:hAnsi="Times New Roman" w:cs="Times New Roman"/>
      <w:b/>
      <w:i w:val="false"/>
      <w:spacing w:val="0"/>
      <w:w w:val="100"/>
      <w:kern w:val="2"/>
      <w:position w:val="0"/>
      <w:sz w:val="24"/>
      <w:szCs w:val="24"/>
      <w:vertAlign w:val="baseline"/>
    </w:rPr>
  </w:style>
  <w:style w:type="character" w:styleId="WW8Num38z1">
    <w:name w:val="WW8Num38z1"/>
    <w:rPr/>
  </w:style>
  <w:style w:type="character" w:styleId="WW8Num39z0">
    <w:name w:val="WW8Num39z0"/>
    <w:rPr>
      <w:b/>
      <w:i w:val="false"/>
      <w:sz w:val="18"/>
      <w:szCs w:val="18"/>
      <w:lang w:val="ro-RO"/>
    </w:rPr>
  </w:style>
  <w:style w:type="character" w:styleId="WW8Num40z0">
    <w:name w:val="WW8Num40z0"/>
    <w:rPr>
      <w:rFonts w:ascii="Times New Roman" w:hAnsi="Times New Roman" w:cs="Times New Roman"/>
      <w:b/>
      <w:sz w:val="24"/>
    </w:rPr>
  </w:style>
  <w:style w:type="character" w:styleId="WW8Num41z0">
    <w:name w:val="WW8Num41z0"/>
    <w:rPr>
      <w:b/>
    </w:rPr>
  </w:style>
  <w:style w:type="character" w:styleId="WW8Num42z0">
    <w:name w:val="WW8Num42z0"/>
    <w:rPr>
      <w:b/>
      <w:sz w:val="18"/>
      <w:szCs w:val="18"/>
    </w:rPr>
  </w:style>
  <w:style w:type="character" w:styleId="WW8Num43z0">
    <w:name w:val="WW8Num43z0"/>
    <w:rPr>
      <w:rFonts w:ascii="Wingdings" w:hAnsi="Wingdings" w:cs="Wingdings"/>
    </w:rPr>
  </w:style>
  <w:style w:type="character" w:styleId="WW8Num43z1">
    <w:name w:val="WW8Num43z1"/>
    <w:rPr>
      <w:rFonts w:ascii="Symbol" w:hAnsi="Symbol" w:cs="Symbol"/>
    </w:rPr>
  </w:style>
  <w:style w:type="character" w:styleId="WW8Num43z2">
    <w:name w:val="WW8Num43z2"/>
    <w:rPr>
      <w:rFonts w:ascii="Times New Roman" w:hAnsi="Times New Roman" w:cs="Times New Roman"/>
      <w:b/>
      <w:i w:val="false"/>
      <w:sz w:val="22"/>
      <w:szCs w:val="22"/>
    </w:rPr>
  </w:style>
  <w:style w:type="character" w:styleId="WW8Num43z3">
    <w:name w:val="WW8Num43z3"/>
    <w:rPr>
      <w:rFonts w:ascii="Symbol" w:hAnsi="Symbol" w:cs="Symbol"/>
    </w:rPr>
  </w:style>
  <w:style w:type="character" w:styleId="WW8Num43z4">
    <w:name w:val="WW8Num43z4"/>
    <w:rPr>
      <w:rFonts w:ascii="Courier New" w:hAnsi="Courier New" w:cs="Courier New"/>
    </w:rPr>
  </w:style>
  <w:style w:type="character" w:styleId="WW8Num43z5">
    <w:name w:val="WW8Num43z5"/>
    <w:rPr>
      <w:rFonts w:ascii="Wingdings" w:hAnsi="Wingdings" w:cs="Wingdings"/>
    </w:rPr>
  </w:style>
  <w:style w:type="character" w:styleId="WW8Num44z0">
    <w:name w:val="WW8Num44z0"/>
    <w:rPr>
      <w:rFonts w:ascii="Arial" w:hAnsi="Arial" w:cs="Arial"/>
      <w:b/>
      <w:i w:val="false"/>
      <w:sz w:val="18"/>
      <w:szCs w:val="18"/>
      <w:lang w:val="it-IT"/>
    </w:rPr>
  </w:style>
  <w:style w:type="character" w:styleId="WW8Num45z0">
    <w:name w:val="WW8Num45z0"/>
    <w:rPr>
      <w:rFonts w:ascii="Arial" w:hAnsi="Arial" w:eastAsia="Times New Roman" w:cs="Arial"/>
      <w:b/>
    </w:rPr>
  </w:style>
  <w:style w:type="character" w:styleId="WW8Num45z1">
    <w:name w:val="WW8Num45z1"/>
    <w:rPr>
      <w:rFonts w:ascii="Courier New" w:hAnsi="Courier New" w:cs="Courier New"/>
    </w:rPr>
  </w:style>
  <w:style w:type="character" w:styleId="WW8Num45z2">
    <w:name w:val="WW8Num45z2"/>
    <w:rPr>
      <w:rFonts w:ascii="Wingdings" w:hAnsi="Wingdings" w:cs="Wingdings"/>
    </w:rPr>
  </w:style>
  <w:style w:type="character" w:styleId="WW8Num45z3">
    <w:name w:val="WW8Num45z3"/>
    <w:rPr>
      <w:rFonts w:ascii="Symbol" w:hAnsi="Symbol" w:cs="Symbol"/>
    </w:rPr>
  </w:style>
  <w:style w:type="character" w:styleId="WW8Num46z0">
    <w:name w:val="WW8Num46z0"/>
    <w:rPr>
      <w:b/>
      <w:lang w:val="ro-RO"/>
    </w:rPr>
  </w:style>
  <w:style w:type="character" w:styleId="WW8Num46z1">
    <w:name w:val="WW8Num46z1"/>
    <w:rPr>
      <w:b/>
      <w:i w:val="false"/>
      <w:sz w:val="22"/>
      <w:szCs w:val="22"/>
    </w:rPr>
  </w:style>
  <w:style w:type="character" w:styleId="WW8Num46z2">
    <w:name w:val="WW8Num46z2"/>
    <w:rPr>
      <w:b/>
    </w:rPr>
  </w:style>
  <w:style w:type="character" w:styleId="WW8Num46z3">
    <w:name w:val="WW8Num46z3"/>
    <w:rPr>
      <w:rFonts w:ascii="Times New Roman" w:hAnsi="Times New Roman" w:eastAsia="Times New Roman" w:cs="Times New Roman"/>
    </w:rPr>
  </w:style>
  <w:style w:type="character" w:styleId="WW8Num46z4">
    <w:name w:val="WW8Num46z4"/>
    <w:rPr/>
  </w:style>
  <w:style w:type="character" w:styleId="WW8Num46z5">
    <w:name w:val="WW8Num46z5"/>
    <w:rPr>
      <w:rFonts w:ascii="Wingdings" w:hAnsi="Wingdings" w:cs="Wingdings"/>
    </w:rPr>
  </w:style>
  <w:style w:type="character" w:styleId="WW8Num46z6">
    <w:name w:val="WW8Num46z6"/>
    <w:rPr>
      <w:rFonts w:ascii="Symbol" w:hAnsi="Symbol" w:cs="Symbol"/>
    </w:rPr>
  </w:style>
  <w:style w:type="character" w:styleId="WW8Num46z7">
    <w:name w:val="WW8Num46z7"/>
    <w:rPr>
      <w:rFonts w:ascii="Courier New" w:hAnsi="Courier New" w:cs="Courier New"/>
    </w:rPr>
  </w:style>
  <w:style w:type="character" w:styleId="WW8Num47z0">
    <w:name w:val="WW8Num47z0"/>
    <w:rPr>
      <w:rFonts w:ascii="Times New Roman" w:hAnsi="Times New Roman" w:cs="Times New Roman"/>
      <w:b/>
      <w:sz w:val="24"/>
      <w:szCs w:val="24"/>
    </w:rPr>
  </w:style>
  <w:style w:type="character" w:styleId="WW8Num47z1">
    <w:name w:val="WW8Num47z1"/>
    <w:rPr/>
  </w:style>
  <w:style w:type="character" w:styleId="WW8Num48z0">
    <w:name w:val="WW8Num48z0"/>
    <w:rPr>
      <w:rFonts w:ascii="Arial" w:hAnsi="Arial" w:cs="Arial"/>
      <w:b/>
      <w:sz w:val="18"/>
      <w:szCs w:val="18"/>
    </w:rPr>
  </w:style>
  <w:style w:type="character" w:styleId="WW8Num49z0">
    <w:name w:val="WW8Num49z0"/>
    <w:rPr>
      <w:b/>
    </w:rPr>
  </w:style>
  <w:style w:type="character" w:styleId="WW8Num50z0">
    <w:name w:val="WW8Num50z0"/>
    <w:rPr/>
  </w:style>
  <w:style w:type="character" w:styleId="WW8Num51z0">
    <w:name w:val="WW8Num51z0"/>
    <w:rPr>
      <w:b/>
    </w:rPr>
  </w:style>
  <w:style w:type="character" w:styleId="WW8Num52z0">
    <w:name w:val="WW8Num52z0"/>
    <w:rPr>
      <w:rFonts w:ascii="Times New Roman" w:hAnsi="Times New Roman" w:cs="Times New Roman"/>
      <w:sz w:val="24"/>
    </w:rPr>
  </w:style>
  <w:style w:type="character" w:styleId="WW8Num53z0">
    <w:name w:val="WW8Num53z0"/>
    <w:rPr>
      <w:rFonts w:ascii="Arial" w:hAnsi="Arial" w:eastAsia="Times New Roman" w:cs="Arial"/>
      <w:b/>
    </w:rPr>
  </w:style>
  <w:style w:type="character" w:styleId="WW8Num53z1">
    <w:name w:val="WW8Num53z1"/>
    <w:rPr>
      <w:rFonts w:ascii="Courier New" w:hAnsi="Courier New" w:cs="Courier New"/>
    </w:rPr>
  </w:style>
  <w:style w:type="character" w:styleId="WW8Num53z2">
    <w:name w:val="WW8Num53z2"/>
    <w:rPr>
      <w:rFonts w:ascii="Wingdings" w:hAnsi="Wingdings" w:cs="Wingdings"/>
    </w:rPr>
  </w:style>
  <w:style w:type="character" w:styleId="WW8Num53z3">
    <w:name w:val="WW8Num53z3"/>
    <w:rPr>
      <w:rFonts w:ascii="Symbol" w:hAnsi="Symbol" w:cs="Symbol"/>
    </w:rPr>
  </w:style>
  <w:style w:type="character" w:styleId="WW8Num54z0">
    <w:name w:val="WW8Num54z0"/>
    <w:rPr>
      <w:rFonts w:ascii="Arial" w:hAnsi="Arial" w:cs="Arial"/>
      <w:b/>
      <w:i w:val="false"/>
      <w:sz w:val="18"/>
      <w:szCs w:val="18"/>
      <w:lang w:val="it-IT"/>
    </w:rPr>
  </w:style>
  <w:style w:type="character" w:styleId="WW8Num55z0">
    <w:name w:val="WW8Num55z0"/>
    <w:rPr>
      <w:rFonts w:ascii="Arial" w:hAnsi="Arial" w:eastAsia="Times New Roman" w:cs="Arial"/>
      <w:b/>
    </w:rPr>
  </w:style>
  <w:style w:type="character" w:styleId="WW8Num55z1">
    <w:name w:val="WW8Num55z1"/>
    <w:rPr>
      <w:rFonts w:ascii="Courier New" w:hAnsi="Courier New" w:cs="Courier New"/>
    </w:rPr>
  </w:style>
  <w:style w:type="character" w:styleId="WW8Num55z2">
    <w:name w:val="WW8Num55z2"/>
    <w:rPr>
      <w:rFonts w:ascii="Wingdings" w:hAnsi="Wingdings" w:cs="Wingdings"/>
    </w:rPr>
  </w:style>
  <w:style w:type="character" w:styleId="WW8Num55z3">
    <w:name w:val="WW8Num55z3"/>
    <w:rPr>
      <w:rFonts w:ascii="Symbol" w:hAnsi="Symbol" w:cs="Symbol"/>
    </w:rPr>
  </w:style>
  <w:style w:type="character" w:styleId="WW8Num56z0">
    <w:name w:val="WW8Num56z0"/>
    <w:rPr>
      <w:rFonts w:ascii="Arial" w:hAnsi="Arial" w:eastAsia="Times New Roman" w:cs="Arial"/>
      <w:b/>
    </w:rPr>
  </w:style>
  <w:style w:type="character" w:styleId="WW8Num56z1">
    <w:name w:val="WW8Num56z1"/>
    <w:rPr>
      <w:rFonts w:ascii="Courier New" w:hAnsi="Courier New" w:cs="Courier New"/>
    </w:rPr>
  </w:style>
  <w:style w:type="character" w:styleId="WW8Num56z2">
    <w:name w:val="WW8Num56z2"/>
    <w:rPr>
      <w:rFonts w:ascii="Wingdings" w:hAnsi="Wingdings" w:cs="Wingdings"/>
    </w:rPr>
  </w:style>
  <w:style w:type="character" w:styleId="WW8Num56z3">
    <w:name w:val="WW8Num56z3"/>
    <w:rPr>
      <w:rFonts w:ascii="Symbol" w:hAnsi="Symbol" w:cs="Symbol"/>
    </w:rPr>
  </w:style>
  <w:style w:type="character" w:styleId="WW8Num57z0">
    <w:name w:val="WW8Num57z0"/>
    <w:rPr>
      <w:b/>
    </w:rPr>
  </w:style>
  <w:style w:type="character" w:styleId="WW8Num58z0">
    <w:name w:val="WW8Num58z0"/>
    <w:rPr>
      <w:sz w:val="16"/>
      <w:szCs w:val="16"/>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FontStyle14">
    <w:name w:val="Font Style14"/>
    <w:rPr>
      <w:rFonts w:ascii="Times New Roman" w:hAnsi="Times New Roman" w:cs="Times New Roman"/>
      <w:sz w:val="20"/>
      <w:szCs w:val="20"/>
    </w:rPr>
  </w:style>
  <w:style w:type="character" w:styleId="FontStyle12">
    <w:name w:val="Font Style12"/>
    <w:rPr>
      <w:rFonts w:ascii="Century Gothic" w:hAnsi="Century Gothic" w:cs="Century Gothic"/>
      <w:sz w:val="24"/>
      <w:szCs w:val="24"/>
    </w:rPr>
  </w:style>
  <w:style w:type="character" w:styleId="Heading1Char">
    <w:name w:val="Heading 1 Char"/>
    <w:rPr>
      <w:rFonts w:ascii="Arial" w:hAnsi="Arial" w:cs="Arial"/>
      <w:b/>
      <w:bCs/>
      <w:kern w:val="2"/>
      <w:sz w:val="32"/>
      <w:szCs w:val="32"/>
    </w:rPr>
  </w:style>
  <w:style w:type="character" w:styleId="spar">
    <w:name w:val="s_par"/>
    <w:basedOn w:val="DefaultParagraphFont"/>
    <w:rPr/>
  </w:style>
  <w:style w:type="character" w:styleId="slitbdy">
    <w:name w:val="s_lit_bdy"/>
    <w:basedOn w:val="DefaultParagraphFont"/>
    <w:rPr/>
  </w:style>
  <w:style w:type="character" w:styleId="BalloonTextChar">
    <w:name w:val="Balloon Text Char"/>
    <w:rPr>
      <w:rFonts w:ascii="Segoe UI" w:hAnsi="Segoe UI" w:cs="Segoe UI"/>
      <w:sz w:val="18"/>
      <w:szCs w:val="18"/>
    </w:rPr>
  </w:style>
  <w:style w:type="character" w:styleId="UnresolvedMention">
    <w:name w:val="Unresolved Mention"/>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PlainText">
    <w:name w:val="Plain Text"/>
    <w:basedOn w:val="Normal"/>
    <w:pPr/>
    <w:rPr>
      <w:rFonts w:ascii="Courier New" w:hAnsi="Courier New" w:cs="Courier New"/>
      <w:color w:val="008080"/>
      <w:lang w:val="en-AU"/>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normal1">
    <w:name w:val="normal1"/>
    <w:basedOn w:val="Normal"/>
    <w:pPr>
      <w:spacing w:before="280" w:after="280"/>
    </w:pPr>
    <w:rPr>
      <w:sz w:val="24"/>
      <w:szCs w:val="24"/>
    </w:rPr>
  </w:style>
  <w:style w:type="paragraph" w:styleId="BalloonText">
    <w:name w:val="Balloon Text"/>
    <w:basedOn w:val="Normal"/>
    <w:pPr/>
    <w:rPr>
      <w:rFonts w:ascii="Segoe UI" w:hAnsi="Segoe UI" w:cs="Segoe UI"/>
      <w:sz w:val="18"/>
      <w:szCs w:val="18"/>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 w:type="numbering" w:styleId="WW8Num46">
    <w:name w:val="WW8Num46"/>
  </w:style>
  <w:style w:type="numbering" w:styleId="WW8Num47">
    <w:name w:val="WW8Num47"/>
  </w:style>
  <w:style w:type="numbering" w:styleId="WW8Num48">
    <w:name w:val="WW8Num48"/>
  </w:style>
  <w:style w:type="numbering" w:styleId="WW8Num49">
    <w:name w:val="WW8Num49"/>
  </w:style>
  <w:style w:type="numbering" w:styleId="WW8Num50">
    <w:name w:val="WW8Num50"/>
  </w:style>
  <w:style w:type="numbering" w:styleId="WW8Num51">
    <w:name w:val="WW8Num51"/>
  </w:style>
  <w:style w:type="numbering" w:styleId="WW8Num52">
    <w:name w:val="WW8Num52"/>
  </w:style>
  <w:style w:type="numbering" w:styleId="WW8Num53">
    <w:name w:val="WW8Num53"/>
  </w:style>
  <w:style w:type="numbering" w:styleId="WW8Num54">
    <w:name w:val="WW8Num54"/>
  </w:style>
  <w:style w:type="numbering" w:styleId="WW8Num55">
    <w:name w:val="WW8Num55"/>
  </w:style>
  <w:style w:type="numbering" w:styleId="WW8Num56">
    <w:name w:val="WW8Num56"/>
  </w:style>
  <w:style w:type="numbering" w:styleId="WW8Num57">
    <w:name w:val="WW8Num57"/>
  </w:style>
  <w:style w:type="numbering" w:styleId="WW8Num58">
    <w:name w:val="WW8Num58"/>
  </w:style>
  <w:style w:type="numbering" w:styleId="WW8Num59">
    <w:name w:val="WW8Num59"/>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wmf"/><Relationship Id="rId4" Type="http://schemas.openxmlformats.org/officeDocument/2006/relationships/image" Target="media/image3.wmf"/><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emf"/><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LibreOffice/26.8.0.3$Linux_AARCH64 LibreOffice_project/680$Build-3</Application>
  <AppVersion>15.0000</AppVersion>
  <Pages>31</Pages>
  <Words>17009</Words>
  <Characters>102089</Characters>
  <CharactersWithSpaces>117734</CharactersWithSpaces>
  <Paragraphs>1016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2024-03-04T10:36:00Z</dcterms:created>
  <dc:creator>Bebe</dc:creator>
  <dc:description/>
  <dc:language>en-US</dc:language>
  <cp:lastModifiedBy/>
  <cp:lastPrinted>2024-03-04T12:41:00Z</cp:lastPrinted>
  <dcterms:modified xsi:type="dcterms:W3CDTF">2026-09-19T01:22:11Z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