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INTRODUCTIV – GENERALĂ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Întreg personalul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{{provider.legalName}} – {{specialist.name}}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>Conform MISSMIG Art. 1 – 327; Legislația de securitate și sănătate în muncă; Consecințele posibile ale necunoașterii și nerespectării legislației de securitate și sănătate în muncă; Măsuri de acordare a primului ajutor, de prevenire și stingere a incendiilor și evacuarea lucrătorilor; Riscurile de accidentare și îmbolnăvire profesională specifice unității.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I.I.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PENTRU INSTRUIREA INTRODUCTIV – GENERALĂ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 – 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7 – 13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angajatorului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14 – 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Obligațiile și drepturile angajaților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16 – 28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Organizarea activităților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 – 81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Supravegherea sănătății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82 – 99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Cerințele minime de securitate și sănătate pentru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100 – 110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Acordarea E.I.P. și acordarea materialelor igienico-sanitare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111 – 121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Semnalizarea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122 – 152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factorilor de risc de accidentare și îmbolnăvire profesională în sistemul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153 – 215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Comunicarea, cercetarea, înregistrarea și raportarea evenimentelor. Accidente de muncă și boli profesionale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216 – 238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Protecția maternității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239 – 270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Informarea, consultarea, instruirea și participarea lucrătorilor privind activitățile de prevenire și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271 – 278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Consecințele posibile ale necunoașterii și nerespectării legislației de securitate și sănătate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279 – 291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acordare a primului ajutor la nivelul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292 – 300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de prevenire și stingere a incendiilor și evacuarea lucrătorilor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301 – 326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legate de circulația pe drumurile publice a vehiculelor, pietonilor și a celorlalte categorii de participanți la trafic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MISSMIG Art. 327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Riscurile de accidentare și îmbolnăvire profesională specifice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 – Testare conform TASSM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19.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PENTRU INSTRUIREA LA LOCUL DE MUNCĂ</w:t>
      </w:r>
    </w:p>
    <w:p>
      <w:pPr>
        <w:pStyle w:val="Normal"/>
        <w:keepNext w:val="true"/>
        <w:widowControl/>
        <w:tabs>
          <w:tab w:val="clear" w:pos="720"/>
          <w:tab w:val="left" w:pos="276" w:leader="none"/>
        </w:tabs>
        <w:spacing w:before="0" w:after="120"/>
        <w:ind w:hanging="0"/>
        <w:jc w:val="left"/>
        <w:rPr>
          <w:rFonts w:ascii="Arial" w:hAnsi="Arial" w:cs="Arial"/>
          <w:b/>
          <w:sz w:val="18"/>
          <w:szCs w:val="18"/>
          <w:lang w:val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 w:val="false"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CONȚINUTUL MATERIALULUI DE INSTRUIRE: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H.G. 1051/2006, H.G. 1146/2006, H.G. 493/2006; H.G. 259/2022; I.P.S.S.M. Art. 1 – 294; {{#modules}}{{citation}}; {{/modules}}Demonstrații practice privind activitățile desfășurate, echipamentele de muncă utilizate, utilizarea echipamentului individual de protecție, a mijloacelor de alarmare, intervenție, evacuare și de prim ajutor.</w:t>
      </w:r>
    </w:p>
    <w:p>
      <w:pPr>
        <w:pStyle w:val="Normal"/>
        <w:widowControl/>
        <w:tabs>
          <w:tab w:val="clear" w:pos="720"/>
          <w:tab w:val="left" w:pos="276" w:leader="none"/>
        </w:tabs>
        <w:spacing w:before="120" w:after="120"/>
        <w:ind w:hanging="0"/>
        <w:jc w:val="left"/>
        <w:rPr>
          <w:rFonts w:ascii="Arial" w:hAnsi="Arial" w:cs="Arial"/>
          <w:b w:val="false"/>
          <w:sz w:val="18"/>
          <w:szCs w:val="18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II.II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PLANUL DE DESFĂȘURARE A INSTRUIRII PENTRU INSTRUIREA LA LOCUL DE MUNCĂ / 4 ORE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737"/>
        <w:gridCol w:w="2495"/>
        <w:gridCol w:w="4592"/>
        <w:gridCol w:w="1531"/>
      </w:tblGrid>
      <w:tr>
        <w:trPr>
          <w:tblHeader w:val="true"/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708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5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 ALE REGLEMENTĂRILOR DE SECURITATE ȘI SĂNĂTATE ÎN MUNCĂ PRIVIND ACTIVITĂȚI SPECIFICE ALE LOCULUI DE MUNCĂ ȘI/ SAU POSTULUI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H.G. 1051/2006, H.G. 1028/2006, H.G. 1146/2006, H.G. 493/2006, H.G. 259/2022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II.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PREVEDERILE INSTRUCȚIUNILOR PROPRII ELABORATE PENTRU LOCUL DE MUNCĂ ȘI/ SAU POSTUL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 – 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generale cu referire la IPSSM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 – 43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privind instruirea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44 – 45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Informații privind tematica de instruire a lucrătorilor în domeniul securității și sănătății în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46 – 55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conduita lucrătorilor la locul de muncă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56 – 62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circulația pietonilor și circulația bicicliștilor (atât în interiorul unității cât și în exteriorul unității)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63 – 100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modul de utilizare a echipamentelor și instalațiilor electrice în medii normale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101 – 171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acordarea primului ajutor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172 – 191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stingerea incendiilor, utilizarea mijloacelor de stingerea incendiilor, alarmare, intervenție, evacuarea lucrătorilor la nivelul locurilor de muncă și/ sau posturilor de lucru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192 – 209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proprii în domeniul securității și sănătății în muncă privind acordarea materialelor igienico-sanitare și a alimentației de protecție, măsuri privind condițiile de mediu necesare și restricțiile care se impun pentru repartizarea personalului la locul de muncă, dimensionarea sarcinii de muncă și repartizarea acesteia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210 – 240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în domeniul securității și sănătății în muncă privind grupuri vulnerabile de risc (munca tinerilor, femeile gravide, lăuzele)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11.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241 – 260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Instrucțiuni proprii de securitate și sănătate în muncă pentru manipularea manuală (nemecanizată) a mărfurilor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12.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I.P.S.S.M. Art. 261 – 294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Măsuri la nivelul locurilor de muncă și/ sau posturilor de lucru privind acordarea, utilizarea, și alte informații utile referitor la echipamentele individuale de protecție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13.</w:t>
            </w:r>
          </w:p>
        </w:tc>
        <w:tc>
          <w:tcPr>
            <w:tcW w:w="249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{{themes.annexTitles}}</w:t>
            </w:r>
          </w:p>
        </w:tc>
        <w:tc>
          <w:tcPr>
            <w:tcW w:w="459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 xml:space="preserve">Instrucțiuni de securitate și sănătate în muncă specifice activităților și echipamentelor de muncă din cadrul {{client.legalName}}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PAUZA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14.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utilizarea echipamentelor de muncă la care lucrătorii își vor desfășura activitatea în cadrul unității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15.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Demonstrații practice privind amplasarea, utilizarea și modul de acționare cu mijloacele de alarmare, intervenție în caz de incendiu, mijloacele de apărare împotriva incendiilor, mijloacele de evacuare și de prim ajutor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16.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 plan de evacuare, amplasarea acestuia și prezentarea unui scenariu de evacuare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17.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VERIFICAREA CUNOȘTINȚELOR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18.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Prezentarea rezultatelor și semnarea fișelor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 min</w:t>
            </w:r>
          </w:p>
        </w:tc>
      </w:tr>
      <w:tr>
        <w:trPr>
          <w:cantSplit/>
        </w:trPr>
        <w:tc>
          <w:tcPr>
            <w:tcW w:w="737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--</w:t>
            </w:r>
          </w:p>
        </w:tc>
        <w:tc>
          <w:tcPr>
            <w:tcW w:w="7087" w:type="dxa"/>
            <w:gridSpan w:val="2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TIMP TOTAL DE INSTRUIRE</w:t>
            </w:r>
          </w:p>
        </w:tc>
        <w:tc>
          <w:tcPr>
            <w:tcW w:w="153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240 min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18"/>
          <w:szCs w:val="18"/>
          <w:lang w:val="ro-RO" w:eastAsia="ro-RO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CAPITOLUL III.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 w:eastAsia="ro-RO"/>
        </w:rPr>
        <w:t>TEMATICA DE INSTRUIRE ȘI PLANUL DE DESFĂȘURARE AL INSTRUIRII PERIODICE</w:t>
      </w:r>
    </w:p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sz w:val="10"/>
          <w:szCs w:val="10"/>
          <w:lang w:val="ro-RO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{{#themes.positions}}</w:t>
      </w:r>
    </w:p>
    <w:p>
      <w:pPr>
        <w:pStyle w:val="Normal"/>
        <w:keepNext/>
        <w:keepLines/>
        <w:widowControl/>
        <w:spacing w:before="240" w:after="120"/>
        <w:ind w:left="0" w:hanging="0"/>
        <w:jc w:val="left"/>
        <w:rPr>
          <w:rFonts w:ascii="Arial" w:hAnsi="Arial" w:cs="Arial"/>
          <w:sz w:val="20"/>
          <w:szCs w:val="20"/>
          <w:lang w:val="ro-RO"/>
        </w:rPr>
      </w:pP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LOCUL DE MUNCĂ: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{{client.legalName}}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FUNCȚIA: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{{name}}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CINE EFECTUEAZĂ INSTRUIREA: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{{trainer}}</w:t>
      </w:r>
      <w:r>
        <w:br/>
      </w:r>
      <w:r>
        <w:rPr>
          <w:rFonts w:eastAsia="Arial" w:cs="Arial" w:ascii="Arial" w:hAnsi="Arial"/>
          <w:b/>
          <w:color w:val="auto"/>
          <w:sz w:val="20"/>
          <w:szCs w:val="20"/>
          <w:lang w:val="ro-RO"/>
        </w:rPr>
        <w:t xml:space="preserve">PERIODICITATE: </w:t>
      </w:r>
      <w:r>
        <w:rPr>
          <w:rFonts w:eastAsia="Arial" w:cs="Arial" w:ascii="Arial" w:hAnsi="Arial"/>
          <w:b w:val="false"/>
          <w:i w:val="false"/>
          <w:color w:val="auto"/>
          <w:spacing w:val="0"/>
          <w:w w:val="100"/>
          <w:sz w:val="20"/>
          <w:szCs w:val="20"/>
          <w:lang w:val="ro-RO"/>
        </w:rPr>
        <w:t xml:space="preserve">{{intervalLabel}}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00"/>
        <w:gridCol w:w="5954"/>
        <w:gridCol w:w="1701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Lunile anului</w:t>
            </w:r>
          </w:p>
        </w:tc>
        <w:tc>
          <w:tcPr>
            <w:tcW w:w="5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Conținutul materialului de instruire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Planul de desfășurare</w:t>
            </w:r>
          </w:p>
        </w:tc>
      </w:tr>
      <w:tr>
        <w:trPr>
          <w:cantSplit/>
        </w:trPr>
        <w:tc>
          <w:tcPr>
            <w:tcW w:w="170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{{#sessions}}{{month}}</w:t>
            </w:r>
          </w:p>
        </w:tc>
        <w:tc>
          <w:tcPr>
            <w:tcW w:w="595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{{content}}</w:t>
            </w:r>
          </w:p>
        </w:tc>
        <w:tc>
          <w:tcPr>
            <w:tcW w:w="170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{{duration}}{{/sessions}}</w:t>
            </w:r>
          </w:p>
        </w:tc>
      </w:tr>
    </w:tbl>
    <w:p>
      <w:pPr>
        <w:pStyle w:val="Normal"/>
        <w:widowControl/>
        <w:spacing w:before="120" w:after="120"/>
        <w:ind w:hanging="0"/>
        <w:jc w:val="left"/>
        <w:rPr>
          <w:rFonts w:ascii="Arial" w:hAnsi="Arial" w:cs="Arial"/>
          <w:b w:val="false"/>
          <w:sz w:val="10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{{/themes.positions}}</w:t>
      </w:r>
    </w:p>
    <w:p>
      <w:pPr>
        <w:pStyle w:val="Normal"/>
        <w:keepNext w:val="false"/>
        <w:widowControl/>
        <w:spacing w:before="0" w:after="0"/>
        <w:ind w:hanging="0"/>
        <w:jc w:val="left"/>
        <w:rPr>
          <w:rFonts w:ascii="Arial" w:hAnsi="Arial" w:cs="Arial"/>
          <w:b w:val="false"/>
          <w:sz w:val="2"/>
          <w:szCs w:val="10"/>
          <w:lang w:val="ro-RO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7" w:right="1134" w:gutter="0" w:header="680" w:top="2629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Wingdings">
    <w:charset w:val="02"/>
    <w:family w:val="roman"/>
    <w:pitch w:val="variable"/>
  </w:font>
  <w:font w:name="Courier New"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Century Gothic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 w:right="360"/>
      <w:jc w:val="center"/>
      <w:rPr>
        <w:rStyle w:val="PageNumber"/>
        <w:rFonts w:ascii="Arial" w:hAnsi="Arial" w:cs="Arial"/>
        <w:color w:val="7A7A7A"/>
        <w:sz w:val="15"/>
        <w:szCs w:val="15"/>
      </w:rPr>
    </w:pPr>
    <w:r>
      <w:rPr>
        <w:rStyle w:val="PageNumber"/>
        <w:rFonts w:eastAsia="Arial" w:cs="Arial" w:ascii="Arial" w:hAnsi="Arial"/>
        <w:b w:val="false"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TISSM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Tematica de instruire și programul de instruire – testare la nivelul unității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2z0">
    <w:name w:val="WW8Num2z0"/>
    <w:rPr>
      <w:b/>
    </w:rPr>
  </w:style>
  <w:style w:type="character" w:styleId="WW8Num2z1">
    <w:name w:val="WW8Num2z1"/>
    <w:rPr>
      <w:rFonts w:ascii="Times New Roman" w:hAnsi="Times New Roman" w:cs="Times New Roman"/>
      <w:sz w:val="24"/>
      <w:szCs w:val="24"/>
    </w:rPr>
  </w:style>
  <w:style w:type="character" w:styleId="WW8Num2z2">
    <w:name w:val="WW8Num2z2"/>
    <w:rPr>
      <w:rFonts w:ascii="Wingdings" w:hAnsi="Wingdings" w:cs="Wingdings"/>
    </w:rPr>
  </w:style>
  <w:style w:type="character" w:styleId="WW8Num2z3">
    <w:name w:val="WW8Num2z3"/>
    <w:rPr>
      <w:rFonts w:ascii="Symbol" w:hAnsi="Symbol" w:cs="Symbol"/>
    </w:rPr>
  </w:style>
  <w:style w:type="character" w:styleId="WW8Num2z4">
    <w:name w:val="WW8Num2z4"/>
    <w:rPr>
      <w:rFonts w:ascii="Courier New" w:hAnsi="Courier New" w:cs="Courier New"/>
    </w:rPr>
  </w:style>
  <w:style w:type="character" w:styleId="WW8Num3z0">
    <w:name w:val="WW8Num3z0"/>
    <w:rPr>
      <w:rFonts w:ascii="Arial" w:hAnsi="Arial" w:cs="Arial"/>
      <w:b/>
      <w:i w:val="false"/>
      <w:sz w:val="20"/>
      <w:szCs w:val="20"/>
    </w:rPr>
  </w:style>
  <w:style w:type="character" w:styleId="WW8Num3z1">
    <w:name w:val="WW8Num3z1"/>
    <w:rPr>
      <w:b/>
    </w:rPr>
  </w:style>
  <w:style w:type="character" w:styleId="WW8Num3z2">
    <w:name w:val="WW8Num3z2"/>
    <w:rPr>
      <w:b/>
      <w:i w:val="false"/>
      <w:sz w:val="20"/>
      <w:szCs w:val="20"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7z0">
    <w:name w:val="WW8Num7z0"/>
    <w:rPr>
      <w:rFonts w:ascii="Symbol" w:hAnsi="Symbol" w:cs="Symbol"/>
    </w:rPr>
  </w:style>
  <w:style w:type="character" w:styleId="WW8Num7z1">
    <w:name w:val="WW8Num7z1"/>
    <w:rPr>
      <w:rFonts w:ascii="Times New Roman" w:hAnsi="Times New Roman" w:cs="Times New Roman"/>
      <w:sz w:val="24"/>
      <w:szCs w:val="24"/>
    </w:rPr>
  </w:style>
  <w:style w:type="character" w:styleId="WW8Num7z2">
    <w:name w:val="WW8Num7z2"/>
    <w:rPr>
      <w:rFonts w:ascii="Wingdings" w:hAnsi="Wingdings" w:cs="Wingdings"/>
    </w:rPr>
  </w:style>
  <w:style w:type="character" w:styleId="WW8Num7z4">
    <w:name w:val="WW8Num7z4"/>
    <w:rPr>
      <w:rFonts w:ascii="Courier New" w:hAnsi="Courier New" w:cs="Courier New"/>
    </w:rPr>
  </w:style>
  <w:style w:type="character" w:styleId="WW8Num9z0">
    <w:name w:val="WW8Num9z0"/>
    <w:rPr>
      <w:b/>
    </w:rPr>
  </w:style>
  <w:style w:type="character" w:styleId="WW8Num10z0">
    <w:name w:val="WW8Num10z0"/>
    <w:rPr>
      <w:rFonts w:ascii="Arial" w:hAnsi="Arial" w:cs="Arial"/>
      <w:b/>
      <w:sz w:val="20"/>
      <w:szCs w:val="20"/>
    </w:rPr>
  </w:style>
  <w:style w:type="character" w:styleId="WW8Num11z0">
    <w:name w:val="WW8Num11z0"/>
    <w:rPr>
      <w:b/>
    </w:rPr>
  </w:style>
  <w:style w:type="character" w:styleId="WW8Num11z1">
    <w:name w:val="WW8Num11z1"/>
    <w:rPr>
      <w:rFonts w:ascii="Symbol" w:hAnsi="Symbol" w:cs="Symbol"/>
      <w:b/>
    </w:rPr>
  </w:style>
  <w:style w:type="character" w:styleId="WW8Num13z0">
    <w:name w:val="WW8Num13z0"/>
    <w:rPr>
      <w:rFonts w:ascii="Times New Roman" w:hAnsi="Times New Roman" w:cs="Times New Roman"/>
      <w:b/>
      <w:sz w:val="24"/>
    </w:rPr>
  </w:style>
  <w:style w:type="character" w:styleId="WW8Num14z0">
    <w:name w:val="WW8Num14z0"/>
    <w:rPr/>
  </w:style>
  <w:style w:type="character" w:styleId="WW8Num15z0">
    <w:name w:val="WW8Num15z0"/>
    <w:rPr>
      <w:rFonts w:ascii="Times New Roman" w:hAnsi="Times New Roman" w:eastAsia="Times New Roman" w:cs="Times New Roman"/>
    </w:rPr>
  </w:style>
  <w:style w:type="character" w:styleId="WW8Num15z1">
    <w:name w:val="WW8Num15z1"/>
    <w:rPr>
      <w:rFonts w:ascii="Courier New" w:hAnsi="Courier New" w:cs="Courier New"/>
    </w:rPr>
  </w:style>
  <w:style w:type="character" w:styleId="WW8Num15z2">
    <w:name w:val="WW8Num15z2"/>
    <w:rPr>
      <w:rFonts w:ascii="Wingdings" w:hAnsi="Wingdings" w:cs="Wingdings"/>
    </w:rPr>
  </w:style>
  <w:style w:type="character" w:styleId="WW8Num15z3">
    <w:name w:val="WW8Num15z3"/>
    <w:rPr>
      <w:rFonts w:ascii="Symbol" w:hAnsi="Symbol" w:cs="Symbol"/>
    </w:rPr>
  </w:style>
  <w:style w:type="character" w:styleId="WW8Num17z0">
    <w:name w:val="WW8Num17z0"/>
    <w:rPr>
      <w:b/>
    </w:rPr>
  </w:style>
  <w:style w:type="character" w:styleId="WW8Num18z0">
    <w:name w:val="WW8Num18z0"/>
    <w:rPr>
      <w:rFonts w:ascii="Arial" w:hAnsi="Arial" w:cs="Arial"/>
      <w:b/>
      <w:i w:val="false"/>
      <w:sz w:val="20"/>
      <w:szCs w:val="20"/>
    </w:rPr>
  </w:style>
  <w:style w:type="character" w:styleId="WW8Num19z0">
    <w:name w:val="WW8Num19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1z1">
    <w:name w:val="WW8Num21z1"/>
    <w:rPr/>
  </w:style>
  <w:style w:type="character" w:styleId="WW8Num24z0">
    <w:name w:val="WW8Num24z0"/>
    <w:rPr>
      <w:rFonts w:ascii="Times New Roman" w:hAnsi="Times New Roman" w:cs="Times New Roman"/>
      <w:b/>
      <w:sz w:val="24"/>
    </w:rPr>
  </w:style>
  <w:style w:type="character" w:styleId="WW8Num25z0">
    <w:name w:val="WW8Num25z0"/>
    <w:rPr>
      <w:rFonts w:ascii="Arial" w:hAnsi="Arial" w:cs="Arial"/>
      <w:b/>
      <w:i w:val="false"/>
      <w:sz w:val="20"/>
      <w:szCs w:val="20"/>
      <w:lang w:val="it-IT"/>
    </w:rPr>
  </w:style>
  <w:style w:type="character" w:styleId="WW8Num26z0">
    <w:name w:val="WW8Num26z0"/>
    <w:rPr>
      <w:rFonts w:ascii="Arial" w:hAnsi="Arial" w:cs="Arial"/>
      <w:b/>
      <w:i w:val="false"/>
      <w:sz w:val="20"/>
      <w:szCs w:val="20"/>
    </w:rPr>
  </w:style>
  <w:style w:type="character" w:styleId="WW8Num26z1">
    <w:name w:val="WW8Num26z1"/>
    <w:rPr>
      <w:rFonts w:ascii="Courier New" w:hAnsi="Courier New" w:cs="Courier New"/>
    </w:rPr>
  </w:style>
  <w:style w:type="character" w:styleId="WW8Num26z2">
    <w:name w:val="WW8Num26z2"/>
    <w:rPr>
      <w:rFonts w:ascii="Wingdings" w:hAnsi="Wingdings" w:cs="Wingdings"/>
    </w:rPr>
  </w:style>
  <w:style w:type="character" w:styleId="WW8Num26z3">
    <w:name w:val="WW8Num26z3"/>
    <w:rPr>
      <w:rFonts w:ascii="Symbol" w:hAnsi="Symbol" w:cs="Symbol"/>
    </w:rPr>
  </w:style>
  <w:style w:type="character" w:styleId="WW8Num28z0">
    <w:name w:val="WW8Num28z0"/>
    <w:rPr>
      <w:b/>
    </w:rPr>
  </w:style>
  <w:style w:type="character" w:styleId="WW8Num29z0">
    <w:name w:val="WW8Num29z0"/>
    <w:rPr>
      <w:rFonts w:ascii="Times New Roman" w:hAnsi="Times New Roman" w:cs="Times New Roman"/>
      <w:b/>
      <w:sz w:val="24"/>
      <w:szCs w:val="24"/>
    </w:rPr>
  </w:style>
  <w:style w:type="character" w:styleId="WW8Num29z1">
    <w:name w:val="WW8Num29z1"/>
    <w:rPr/>
  </w:style>
  <w:style w:type="character" w:styleId="WW8Num30z0">
    <w:name w:val="WW8Num30z0"/>
    <w:rPr>
      <w:b/>
    </w:rPr>
  </w:style>
  <w:style w:type="character" w:styleId="WW8Num32z0">
    <w:name w:val="WW8Num32z0"/>
    <w:rPr>
      <w:rFonts w:ascii="Times New Roman" w:hAnsi="Times New Roman" w:eastAsia="Times New Roman" w:cs="Times New Roman"/>
    </w:rPr>
  </w:style>
  <w:style w:type="character" w:styleId="WW8Num32z1">
    <w:name w:val="WW8Num32z1"/>
    <w:rPr>
      <w:rFonts w:ascii="Courier New" w:hAnsi="Courier New" w:cs="Courier New"/>
    </w:rPr>
  </w:style>
  <w:style w:type="character" w:styleId="WW8Num32z2">
    <w:name w:val="WW8Num32z2"/>
    <w:rPr>
      <w:rFonts w:ascii="Wingdings" w:hAnsi="Wingdings" w:cs="Wingdings"/>
    </w:rPr>
  </w:style>
  <w:style w:type="character" w:styleId="WW8Num32z3">
    <w:name w:val="WW8Num32z3"/>
    <w:rPr>
      <w:rFonts w:ascii="Symbol" w:hAnsi="Symbol" w:cs="Symbol"/>
    </w:rPr>
  </w:style>
  <w:style w:type="character" w:styleId="WW8Num33z0">
    <w:name w:val="WW8Num33z0"/>
    <w:rPr>
      <w:rFonts w:ascii="Times New Roman" w:hAnsi="Times New Roman" w:cs="Times New Roman"/>
      <w:sz w:val="24"/>
    </w:rPr>
  </w:style>
  <w:style w:type="character" w:styleId="WW8Num34z0">
    <w:name w:val="WW8Num34z0"/>
    <w:rPr>
      <w:rFonts w:ascii="Times New Roman" w:hAnsi="Times New Roman" w:cs="Times New Roman"/>
      <w:b/>
      <w:i w:val="false"/>
      <w:sz w:val="22"/>
      <w:szCs w:val="22"/>
      <w:lang w:val="it-IT"/>
    </w:rPr>
  </w:style>
  <w:style w:type="character" w:styleId="WW8Num34z1">
    <w:name w:val="WW8Num34z1"/>
    <w:rPr>
      <w:rFonts w:ascii="Times New Roman" w:hAnsi="Times New Roman" w:eastAsia="Times New Roman" w:cs="Times New Roman"/>
      <w:b/>
      <w:i w:val="false"/>
      <w:sz w:val="22"/>
      <w:szCs w:val="22"/>
    </w:rPr>
  </w:style>
  <w:style w:type="character" w:styleId="WW8Num34z2">
    <w:name w:val="WW8Num34z2"/>
    <w:rPr>
      <w:b/>
      <w:i w:val="false"/>
      <w:sz w:val="22"/>
      <w:szCs w:val="22"/>
    </w:rPr>
  </w:style>
  <w:style w:type="character" w:styleId="WW8Num34z3">
    <w:name w:val="WW8Num34z3"/>
    <w:rPr>
      <w:b w:val="false"/>
      <w:i w:val="false"/>
      <w:sz w:val="22"/>
      <w:szCs w:val="22"/>
    </w:rPr>
  </w:style>
  <w:style w:type="character" w:styleId="WW8Num35z0">
    <w:name w:val="WW8Num35z0"/>
    <w:rPr>
      <w:b/>
    </w:rPr>
  </w:style>
  <w:style w:type="character" w:styleId="WW8Num36z0">
    <w:name w:val="WW8Num36z0"/>
    <w:rPr/>
  </w:style>
  <w:style w:type="character" w:styleId="WW8NumSt18z0">
    <w:name w:val="WW8NumSt18z0"/>
    <w:rPr>
      <w:rFonts w:ascii="Arial" w:hAnsi="Arial" w:cs="Arial"/>
      <w:b/>
      <w:i w:val="false"/>
      <w:sz w:val="22"/>
      <w:szCs w:val="22"/>
      <w:lang w:val="ro-RO"/>
    </w:rPr>
  </w:style>
  <w:style w:type="character" w:styleId="WW8NumSt20z0">
    <w:name w:val="WW8NumSt20z0"/>
    <w:rPr>
      <w:rFonts w:ascii="Times New Roman" w:hAnsi="Times New Roman" w:cs="Times New Roman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FontStyle13">
    <w:name w:val="Font Style13"/>
    <w:rPr>
      <w:rFonts w:ascii="Arial" w:hAnsi="Arial" w:cs="Arial"/>
      <w:b/>
      <w:bCs/>
      <w:i/>
      <w:iCs/>
      <w:sz w:val="16"/>
      <w:szCs w:val="16"/>
    </w:rPr>
  </w:style>
  <w:style w:type="character" w:styleId="FontStyle50">
    <w:name w:val="Font Style50"/>
    <w:rPr>
      <w:rFonts w:ascii="Arial" w:hAnsi="Arial" w:cs="Arial"/>
      <w:sz w:val="16"/>
      <w:szCs w:val="16"/>
    </w:rPr>
  </w:style>
  <w:style w:type="character" w:styleId="FontStyle53">
    <w:name w:val="Font Style53"/>
    <w:rPr>
      <w:rFonts w:ascii="Arial" w:hAnsi="Arial" w:cs="Arial"/>
      <w:b/>
      <w:bCs/>
      <w:sz w:val="16"/>
      <w:szCs w:val="16"/>
    </w:rPr>
  </w:style>
  <w:style w:type="character" w:styleId="FontStyle54">
    <w:name w:val="Font Style54"/>
    <w:rPr>
      <w:rFonts w:ascii="Arial" w:hAnsi="Arial" w:cs="Arial"/>
      <w:b/>
      <w:bCs/>
      <w:sz w:val="16"/>
      <w:szCs w:val="16"/>
    </w:rPr>
  </w:style>
  <w:style w:type="character" w:styleId="FontStyle20">
    <w:name w:val="Font Style20"/>
    <w:rPr>
      <w:rFonts w:ascii="Arial" w:hAnsi="Arial" w:cs="Arial"/>
      <w:b/>
      <w:bCs/>
      <w:sz w:val="16"/>
      <w:szCs w:val="16"/>
    </w:rPr>
  </w:style>
  <w:style w:type="character" w:styleId="FontStyle22">
    <w:name w:val="Font Style22"/>
    <w:rPr>
      <w:rFonts w:ascii="Arial" w:hAnsi="Arial" w:cs="Arial"/>
      <w:sz w:val="16"/>
      <w:szCs w:val="16"/>
    </w:rPr>
  </w:style>
  <w:style w:type="character" w:styleId="FontStyle24">
    <w:name w:val="Font Style24"/>
    <w:rPr>
      <w:rFonts w:ascii="Arial" w:hAnsi="Arial" w:cs="Arial"/>
      <w:b/>
      <w:bCs/>
      <w:sz w:val="16"/>
      <w:szCs w:val="16"/>
    </w:rPr>
  </w:style>
  <w:style w:type="character" w:styleId="FontStyle26">
    <w:name w:val="Font Style26"/>
    <w:rPr>
      <w:rFonts w:ascii="Arial" w:hAnsi="Arial" w:cs="Arial"/>
      <w:b/>
      <w:bCs/>
      <w:spacing w:val="-20"/>
      <w:sz w:val="22"/>
      <w:szCs w:val="22"/>
    </w:rPr>
  </w:style>
  <w:style w:type="character" w:styleId="FontStyle15">
    <w:name w:val="Font Style15"/>
    <w:rPr>
      <w:rFonts w:ascii="Arial" w:hAnsi="Arial" w:cs="Arial"/>
      <w:sz w:val="16"/>
      <w:szCs w:val="16"/>
    </w:rPr>
  </w:style>
  <w:style w:type="character" w:styleId="FontStyle16">
    <w:name w:val="Font Style16"/>
    <w:rPr>
      <w:rFonts w:ascii="Arial" w:hAnsi="Arial" w:cs="Arial"/>
      <w:b/>
      <w:bCs/>
      <w:sz w:val="16"/>
      <w:szCs w:val="16"/>
    </w:rPr>
  </w:style>
  <w:style w:type="character" w:styleId="FontStyle17">
    <w:name w:val="Font Style17"/>
    <w:rPr>
      <w:rFonts w:ascii="Arial" w:hAnsi="Arial" w:cs="Arial"/>
      <w:b/>
      <w:bCs/>
      <w:sz w:val="16"/>
      <w:szCs w:val="16"/>
    </w:rPr>
  </w:style>
  <w:style w:type="character" w:styleId="tpta1">
    <w:name w:val="tpt_a1"/>
    <w:rPr>
      <w:strike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/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Style8">
    <w:name w:val="Style8"/>
    <w:basedOn w:val="Normal"/>
    <w:pPr>
      <w:widowControl w:val="false"/>
      <w:spacing w:lineRule="exact" w:line="245"/>
      <w:jc w:val="both"/>
    </w:pPr>
    <w:rPr>
      <w:rFonts w:ascii="Century Gothic" w:hAnsi="Century Gothic" w:cs="Century Gothic"/>
      <w:sz w:val="24"/>
      <w:szCs w:val="24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paragraph" w:styleId="FrameContentsuser">
    <w:name w:val="Frame Contents (user)"/>
    <w:basedOn w:val="Normal"/>
    <w:pPr/>
    <w:rPr/>
  </w:style>
  <w:style w:type="paragraph" w:styleId="FrameContents">
    <w:name w:val="Frame Contents"/>
    <w:basedOn w:val="Normal"/>
    <w:pPr/>
    <w:rPr/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Application>LibreOffice/26.8.0.3$Linux_AARCH64 LibreOffice_project/680$Build-3</Application>
  <AppVersion>15.0000</AppVersion>
  <Pages>4</Pages>
  <Words>1514</Words>
  <Characters>10571</Characters>
  <CharactersWithSpaces>11763</CharactersWithSpaces>
  <Paragraphs>370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2024-03-04T17:46:00Z</dcterms:created>
  <dc:creator>Bebe</dc:creator>
  <dc:description/>
  <dc:language>en-US</dc:language>
  <cp:lastModifiedBy/>
  <cp:lastPrinted>2023-09-21T23:54:00Z</cp:lastPrinted>
  <dcterms:modified xsi:type="dcterms:W3CDTF">2026-09-30T22:07:11Z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