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52 – 56,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 din H.G. 1425/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din H.G. 1425/ 2006,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 (7),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 (7),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din Legea 53/ 2003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din Legea 53/ 2003,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din Legea 53/ 2003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Legea 319/ 2006,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I</w:t>
      </w:r>
      <w:r>
        <w:rPr>
          <w:rFonts w:eastAsia="Arial" w:cs="Arial" w:ascii="Arial" w:hAnsi="Arial"/>
          <w:b w:val="false"/>
          <w:bCs w:val="false"/>
          <w:color w:val="auto"/>
          <w:spacing w:val="0"/>
          <w:w w:val="100"/>
          <w:sz w:val="20"/>
          <w:szCs w:val="20"/>
          <w:lang w:val="ro-RO"/>
        </w:rPr>
        <w:t/>
      </w:r>
      <w:r>
        <w:rPr>
          <w:rFonts w:eastAsia="Arial" w:cs="Arial" w:ascii="Arial" w:hAnsi="Arial"/>
          <w:b w:val="false"/>
          <w:color w:val="auto"/>
          <w:spacing w:val="0"/>
          <w:w w:val="100"/>
          <w:sz w:val="20"/>
          <w:szCs w:val="20"/>
          <w:lang w:val="ro-RO"/>
        </w:rPr>
        <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