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punctele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Serviciul extern de prevenire și protecție va efectua controale interne ori de câte ori consideră necesară efectuarea unui control intern, dar perioada de timp între două controale nu va depăși 3 luni;</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șefii locurilor de muncă vor efectua controale interne săptămânale vizuale la locurile de muncă pe care le conduc și în zona în care își desfășoară activitatea și vor transmite neregulile constatate către șeful ierarhic superior și / sau către angajator sau persoana desemnată de acesta.</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persoanei responsabile cu întreținerea.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angajatorului periodic (lunar sau trimestrial), într-o sinteză, și, în funcție de importanța încălcării, imediat ce ia cunoștință de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Propuneri de sancțiuni și stimulente pentru lucrători pe criteriul îndeplinirii atribuțiilor în domeniul securității și sănătății în muncă. Aceste propuneri vor fi efectuate de către șeful ierarhic superior, către serviciul intern sau extern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persoana responsabilă cu întreținerea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angajator,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Persoana responsabilă cu întreținerea va efectua inspecții zilnice și săptămânale conform unui grafic propriu,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