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ANEXĂ LA REGULAMENTUL INTERN</w:t>
      </w:r>
    </w:p>
    <w:p>
      <w:pPr>
        <w:pStyle w:val="Normal"/>
        <w:keepNext w:val="false"/>
        <w:bidi w:val="0"/>
        <w:spacing w:before="0" w:after="24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privind semnarea electronică a fișelor de instruire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Prezenta anexă la regulamentul intern al {{client.legalName}} stabilește modul de semnare electronică a fișelor de instruire, în temeiul art. 81 alin. (3¹)–(3³) din H.G. 1425/2006, al art. 16 alin. (1²), (1³) și (1⁶)–(1⁸) din Legea 53/2003 – Codul muncii, al art. 17 alin. (3) lit. o) din Legea 53/2003, al art. 4 din Legea 214/2024 privind utilizarea semnăturii electronice și al art. 26 din Regulamentul (UE) nr. 910/2014 (eIDAS).</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 semnează electronic fișele individuale de instruire în domeniul securității și sănătății în muncă (anexa nr. 11 la H.G. 1425/2006) și fișele individuale de instructaj în domeniul situațiilor de urgență (OMAI 712/2005), rând cu rând, pentru fiecare instruire consemnată, de lucrătorul instruit și de cel care a efectuat instruirea, iar pe fișa de securitate și sănătate în muncă și de cel care a verificat însușirea cunoștințelor; rubrica „Admis la lucru” a acestei fișe se semnează de cel care l-a admis la lucru. Alte documente se semnează electronic numai după ce sunt adăugate în prezenta anexă.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Fișele se semnează cu semnătură electronică avansată în sensul art. 26 din Regulamentul (UE) nr. 910/2014, fără certificat calificat, creată în platforma pusă la dispoziție de {{provider.legalName}}, serviciul extern de prevenire și protecție al angajatorului. Fiecare semnatar are o cheie de semnare proprie, cu un certificat emis de platformă pe numele său, păstrată criptat în platformă. Cheia se folosește numai după ce semnatarul introduce codul de unică folosință primit la adresa sa, astfel încât semnătura face trimitere exclusiv la semnatar, permite identificarea lui, este creată cu date pe care acesta le poate utiliza, cu un nivel ridicat de încredere, exclusiv sub controlul său și este legată de fișă astfel încât orice modificare ulterioară poate fi detectată.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Fiecare semnatar semnează din contul său personal, deschis pe adresa de e-mail sau pe numărul de telefon mobil comunicat angajatorului (ori serviciului extern de prevenire și protecție, pentru personalul acestuia). La fiecare semnare, platforma trimite acolo un cod de unică folosință, iar un cod semnează numai documentele afișate semnatarului în momentul în care l-a cerut. Se înregistrează numele și funcția semnatarului, momentul semnării, adresa de e-mail sau numărul de telefon la care s-a trimis codul, adresa IP și browserul folosite și amprenta digitală a fișei înainte și după semnare.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Un rând semnat al fișei nu mai poate fi modificat: o greșeală se corectează prin anularea rândului, care rămâne pe fișă cu mențiunea „anulat”, și prin consemnarea instruirii pe rândul următor, care se semnează din nou.</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Fișa semnată electronic se păstrează de angajator, în format electronic, de la angajare până la data încetării raporturilor de muncă (art. 81 alin. (4) și (5) din H.G. 1425/2006). Angajatorul o poate descărca oricând din platformă, cu semnăturile verificabile, și o pune la dispoziția organelor de control în format electronic, fără a le fi solicitată și în format letric (art. 16 alin. (1⁸) din Legea 53/2003). Fișa se arhivează potrivit Legii 16/1996 și Legii 135/2007 (art. 16 alin. (1³) din Legea 53/2003).</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Semnarea electronică a fișelor salariatului se convine prin contractul individual de muncă sau printr-un act adițional la acesta (art. 81 alin. (3²) din H.G. 1425/2006), pe care salariatul nu poate fi obligat să îl semneze electronic (art. 16 alin. (1⁶) din Legea 53/2003). Salariatul care nu îl încheie semnează olograf fișa tipărită, iar cel care l-a încheiat poate reveni oricând la semnarea olografă, printr-o cerere scrisă.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Anexa se întocmește cu consultarea sindicatului sau a reprezentanților salariaților, după caz (art. 241 din Legea 53/2003), se aduce la cunoștința fiecărui salariat, pe hârtie sau în format electronic, se afișează la sediul angajatorului și produce efecte față de salariat de la luarea la cunoștință (art. 243 din Legea 53/2003).</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Angajator</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Întocmit</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{{specialist.name}}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{{specialist.professionalTitle}}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Consultat: ________________________, reprezentant al salariaților / sindicat, data __________</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1</Pages>
  <Words>168</Words>
  <Characters>1661</Characters>
  <CharactersWithSpaces>1754</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2026-10-18T13:30:01Z</dcterms:modified>
  <cp:revision>1</cp:revision>
  <dc:subject/>
  <dc:title/>
</cp:coreProperties>
</file>