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prezența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 xml:space="preserve">(2)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(4) Testarea lucrătorilor va fi efectuată periodic, la intervalele stabilite pentru instruirea periodică,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lucrătorilor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gheață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 xml:space="preserve">instruirea la locul de muncă va cuprinde și m</w:t>
      </w:r>
      <w:r>
        <w:rPr>
          <w:rStyle w:val="tli1"/>
          <w:rFonts w:eastAsia="Arial" w:cs="Arial" w:ascii="Arial" w:hAnsi="Arial"/>
          <w:b w:val="false"/>
          <w:i/>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bază.</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excoriațiile-interesează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roșeața tegumentară-se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umflătura-lichid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(hipergranulații-țesuturi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chimică calorică-se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chimică caustică (necrotică)-determină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suprafață-leziune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homeoterm-cu temperatura constantă-temperatura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această ultimă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apă la o temperatură de 40-42 grade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apără prin contracții musculare generalizate de tip frison, deci termogeneza. Dacă acest mijloc este depășit, atunci temperatura scade către 30 grade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grade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părților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fața terestră – epicentru. Vibrațiile seismice se propagă de la epicentru sub formă de unde sferice concentrice, cu viteza de 6 – 8 km /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2-5% sau înălbitor, lenjeria și vesela se fierb timp de 15-20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[°C] sau, corelate cu condiții de umiditate mare, pot fi echivalate cu acest nivel sau temperaturile exterioare ale aerului scad sub –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indemnizației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