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privind personalul desemnat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Material de instruire în domeniul securității și sănătății în muncă pentru instruirea introductiv-generală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Instrucțiuni proprii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Tematica de instruire și programul de instruire – testare la nivelul unității în domeniul securității și sănătății în muncă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a cunoștințelor în urma instruirii introductiv-generale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Test de verificare periodică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Document justificativ de control privind verificarea tematică la locurile de muncă, informarea asupra deficiențelor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Regulament intern privind controlul propriu privind respectarea prevederilor legale, a dispozițiilor, instrucțiunilor și reglementărilor interne în domeniul securității și sănătății în muncă (cod R.I.C.P.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sau îmbolnăvire profesională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alte activități necesare/ 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își desfășoară activitatea profesională în mod efectiv și cu regularitate în întreprindere și/ 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situația în care nu sunt îndeplinite condițiile prevăzute la alin. (1) de mai sus, angajatorul trebuie să desemneze unul sau mai mulți lucrători ori poate organiza serviciul intern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 xml:space="preserve">(1) lit. a)–c) din H.G. 1425/ 2006;</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situația în care nu sunt îndeplinite condițiile prevăzute la alin. (1), angajatorul trebuie să desemneze unul sau mai mulți lucrători ori poate organiza unul sau mai multe servicii interne de prevenire și protecție și/ 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 xml:space="preserve">În cazul în care angajatorul/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În cazul întreprinderilor și/ 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 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În cazul în care lucrătorii desemnați, 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 care serviciile interne de prevenire și protecție nu au capacitățile și aptitudinile necesare pentru efectuarea tuturor activităților de prevenire și protecție prevăzute la art. 15 din H.G. 1425/ 2006,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din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modul de colaborare cu lucrătorii desemnați/ serviciile interne și/ 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un reprezentant, în cazul întreprinderilor și/ 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2 reprezentanți, în cazul întreprinderilor și/ 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 xml:space="preserve">(Preluare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 xml:space="preserve">Rezultatul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 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 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 xml:space="preserve">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 xml:space="preserve">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 xml:space="preserve">(Preluare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Instrucțiuni proprii în domeniul securității și sănătății în muncă »</w:t>
      </w:r>
      <w:r>
        <w:rPr>
          <w:rFonts w:eastAsia="Arial" w:cs="Arial" w:ascii="Arial" w:hAnsi="Arial"/>
          <w:b w:val="false"/>
          <w:color w:val="auto"/>
          <w:spacing w:val="0"/>
          <w:w w:val="100"/>
          <w:sz w:val="20"/>
          <w:szCs w:val="20"/>
          <w:lang w:val="ro-RO"/>
        </w:rPr>
        <w:t xml:space="preserve">,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 xml:space="preserve">(Preluare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 xml:space="preserve">ntervalul dintre două instruiri periodice și periodicitatea verificării instruirii vor fi stabilite prin programul de instruire-testare elaborat la nivelul întreprinderii și/ sau unității potrivit prevederilor art. 15 alin. (1) pct. 8 din H.G. 1425/ 2006, în funcție de condițiile locului de muncă și/ 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w:t>
      </w:r>
      <w:r>
        <w:rPr>
          <w:rStyle w:val="spar"/>
          <w:rFonts w:eastAsia="Arial" w:cs="Arial" w:ascii="Arial" w:hAnsi="Arial"/>
          <w:b/>
          <w:color w:val="auto"/>
          <w:spacing w:val="0"/>
          <w:w w:val="100"/>
          <w:sz w:val="20"/>
          <w:szCs w:val="20"/>
          <w:shd w:fill="FFFFFF" w:val="clear"/>
          <w:lang w:val="ro-RO"/>
        </w:rPr>
        <w:t>Durata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 xml:space="preserve">Instruirea periodică suplimentară se va efectua pe baza tematicilor </w:t>
      </w:r>
      <w:r>
        <w:rPr>
          <w:rStyle w:val="tal1"/>
          <w:rFonts w:eastAsia="Arial" w:cs="Arial" w:ascii="Arial" w:hAnsi="Arial"/>
          <w:b/>
          <w:color w:val="auto"/>
          <w:spacing w:val="0"/>
          <w:w w:val="100"/>
          <w:sz w:val="20"/>
          <w:szCs w:val="20"/>
          <w:lang w:val="ro-RO"/>
        </w:rPr>
        <w:t xml:space="preserve">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 xml:space="preserve">Tematica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Legii nr. 346/ 2002</w:t>
      </w:r>
      <w:r>
        <w:rPr>
          <w:rFonts w:eastAsia="Arial" w:cs="Arial" w:ascii="Arial" w:hAnsi="Arial"/>
          <w:color w:val="auto"/>
          <w:spacing w:val="0"/>
          <w:w w:val="100"/>
          <w:sz w:val="20"/>
          <w:szCs w:val="20"/>
          <w:lang w:val="ro-RO"/>
        </w:rPr>
        <w:t xml:space="preserve">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 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afla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 xml:space="preserve">Evaluarea riscurilor cu privire la securitatea și sănătatea în muncă la nivelul întreprinderii și/ 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ori de câte ori intervin schimbări sau modificări în ceea ce privește tehnologia, echipamentele de muncă, substanțele ori preparatele chimice utilizate și amenajarea locurilor de muncă/ 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 xml:space="preserve">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Cerințele minime pentru semnalizarea de securitate și/ 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 xml:space="preserve">Denumirea documentului</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Material de instruire în domeniul securității și sănătății în muncă pentru instruirea introductiv-generală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Evaluarea riscurilor de accidentare și/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 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securității și sănătății în muncă (instruirea introductiv-generală,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 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pentru realizarea instruirii în domeniul situațiilor de urgență,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vor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 xml:space="preserve">însoțesc echipa/ 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 xml:space="preserve">elaborarea de instrucțiuni proprii pentru completarea și/ sau aplicarea reglementărilor de securitate și sănătate în muncă, ținând seama de particularitățile activităților și ale unității/ 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 xml:space="preserve">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 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are obligația, potrivit Legii 319/ 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punctul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Cs/>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Astfel, lucrătorul desemnat sau serviciul extern va trebui: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 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în funcție de posibilități, aer condiționat sau ventilație. În perioadele cu temperaturi ridicate extreme (peste +37 °C), angajatorul va asigura apă minerală adecvată, câte 2 – 4 litri/ persoană/ schimb, iar în perioadele cu temperaturi scăzute extreme (sub -20 °C), salariaților care lucrează în aer liber, ceai fierbinte în cantitate de 0,5 – 1 litru/ persoană/ schimb (O.U.G. nr. 99/ 2000, art. 4 și 5)</w:t>
      </w:r>
      <w:r>
        <w:rPr>
          <w:rFonts w:eastAsia="Arial" w:cs="Arial" w:ascii="Arial" w:hAnsi="Arial"/>
          <w:bCs/>
          <w:color w:val="auto"/>
          <w:spacing w:val="0"/>
          <w:w w:val="100"/>
          <w:sz w:val="20"/>
          <w:szCs w:val="20"/>
          <w:lang w:val="ro-RO"/>
        </w:rPr>
        <w:t xml:space="preserve">;</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 sau mame, lăuze sau care alăptează, conform O.U.G. nr. 96/ 2003 privind protecția maternității la locurile de muncă.</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 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viața și sănătatea celorlalți angajați la același loc de muncă;</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efectuează de către persoane cu pregătire în domeniul securității și sănătății în muncă (lucrătorul desemnat, serviciul intern sau serviciul extern de prevenire și protecție); instruirea la locul de muncă și instruirea periodică se efectuează de către conducătorul locului de muncă sau de către serviciul extern de prevenire și protecție, potrivit deciziei de instruire.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 xml:space="preserve">Întocmirea/ 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 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unitatea are sub 10 lucrători (H.G. 1425/ 2006, art. 53 alin. (2)).{{/workersRepresentativeDecision}}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Dacă este cazul,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este următoarea: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color w:val="auto"/>
          <w:spacing w:val="0"/>
          <w:w w:val="100"/>
          <w:sz w:val="20"/>
          <w:szCs w:val="20"/>
          <w:lang w:val="ro-RO"/>
        </w:rPr>
        <w:t xml:space="preserve">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 xml:space="preserve">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vor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Salariatele gravide, lăuze sau care alăptează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 xml:space="preserve">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maximum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În termen de 10 zile lucrătoare de la data la care angajatorul a fost anunțat în scris de către o salariată că se află în una dintre situațiile prevăzute la art. 2 lit. c)–e) din O.U.G. nr. 96/ 2003, acesta</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să prevină expunerea salariatelor gravide, lăuze sau care alăptează la riscuri</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gravide, lăuze sau care alăptează, care își</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 xml:space="preserve">să transfere la un alt loc de muncă, cu menținerea salariului de bază brut lunar, salariatele gravide, lăuze sau care alăptează, care desfășoară</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gravide, lăuze sau care alăptează, care desfășoară</w:t>
      </w:r>
      <w:r>
        <w:rPr>
          <w:rStyle w:val="tal1"/>
          <w:rFonts w:eastAsia="Arial" w:cs="Arial" w:ascii="Arial" w:hAnsi="Arial"/>
          <w:color w:val="auto"/>
          <w:spacing w:val="0"/>
          <w:w w:val="100"/>
          <w:sz w:val="20"/>
          <w:szCs w:val="20"/>
          <w:lang w:val="ro-RO"/>
        </w:rPr>
        <w:t xml:space="preserve"/>
      </w:r>
      <w:r>
        <w:rPr>
          <w:rStyle w:val="tli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 xml:space="preserve">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 xml:space="preserve">să modifice în mod corespunzător condițiile și/ sau orarul de muncă ori să le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 xml:space="preserve">În cazul în care angajatorul, din motive justificate în mod obiectiv, nu poate să îndeplinească obligația prevăzută la art. 9 alin. (2) din O.U.G. nr. 96/ 2003 (punctul 9 de mai sus), salariatele gravide, lăuze sau care alăptează au dreptul</w:t>
      </w:r>
      <w:r>
        <w:rPr>
          <w:rStyle w:val="tli1"/>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O.U.G. nr. 158/ 2005, aprobată cu modificări și completări prin Legea nr. 399/ 2006, cu modificările și completările ulterioare.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