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 xml:space="preserve">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700"/>
        <w:gridCol w:w="2800"/>
        <w:gridCol w:w="3970"/>
        <w:gridCol w:w="1885"/>
      </w:tblGrid>
      <w:tr>
        <w:trPr>
          <w:tblHeader w:val="true"/>
        </w:trPr>
        <w:tc>
          <w:tcPr>
            <w:tcW w:w="70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80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3970"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1885"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cantSplit/>
        </w:trPr>
        <w:tc>
          <w:tcPr>
            <w:tcW w:w="70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80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3970"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1885"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keepNext/>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keepNext/>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echipamentul individual de protecție purtat sau folosit de armată,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trebuie să respecte prevederile Hotărârii Guvernului nr. 115/2004 privind stabilirea cerințelor esențiale de securitate ale echipamentelor individuale de protecție și a condițiilor pentru introducerea lor pe piață, cu modificările ulterioare.</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 xml:space="preserve">să se potrivească în mod corect persoanei care îl poartă, după toate ajustările necesare.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În cazul în care prezența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Normal"/>
        <w:widowControl/>
        <w:numPr>
          <w:ilvl w:val="0"/>
          <w:numId w:val="30"/>
        </w:numPr>
        <w:tabs>
          <w:tab w:val="clear" w:pos="720"/>
          <w:tab w:val="left" w:pos="90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Echipamentul individual de protecție se distribuie gratuit de angajator, care asigură buna sa funcționare și o stare de igienă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keepNext/>
        <w:widowControl/>
        <w:spacing w:before="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(2) Această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keepNext/>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române care transpun legislația comunitară privind libera circulație a acestui echipament.</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ind w:left="432" w:right="288" w:hanging="0"/>
        <w:jc w:val="left"/>
        <w:rPr>
          <w:rFonts w:ascii="Arial" w:hAnsi="Arial" w:cs="Arial"/>
          <w:sz w:val="20"/>
          <w:szCs w:val="20"/>
        </w:rPr>
      </w:pPr>
      <w:r>
        <w:rPr>
          <w:rFonts w:eastAsia="Arial" w:cs="Arial" w:ascii="Arial" w:hAnsi="Arial"/>
          <w:color w:val="auto"/>
          <w:spacing w:val="0"/>
          <w:w w:val="100"/>
          <w:sz w:val="20"/>
          <w:szCs w:val="20"/>
          <w:lang w:val="ro-RO"/>
        </w:rPr>
        <w:t xml:space="preserve">Ministerul Muncii, Solidarității Sociale și Familiei consultă organizațiile angajatorilor și lucrătorilor cu privire la regulile prevăzute la art. 17 și 18.</w:t>
      </w:r>
    </w:p>
    <w:p>
      <w:pPr>
        <w:pStyle w:val="Normal"/>
        <w:keepNext/>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30"/>
        </w:numPr>
        <w:spacing w:before="120" w:after="60"/>
        <w:ind w:left="432" w:right="288" w:hanging="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
      </w:r>
      <w:r>
        <w:rPr>
          <w:rFonts w:eastAsia="Arial" w:cs="Arial" w:ascii="Arial" w:hAnsi="Arial"/>
          <w:color w:val="auto"/>
          <w:spacing w:val="0"/>
          <w:w w:val="100"/>
          <w:sz w:val="20"/>
          <w:szCs w:val="20"/>
          <w:lang w:val="ro-RO"/>
        </w:rPr>
        <w:t xml:space="preserve">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r>
        <w:br/>
      </w: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Căldură,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keepNext/>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Ceață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Vânt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Zăpadă</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Gheață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keepNext/>
        <w:widowControl/>
        <w:tabs>
          <w:tab w:val="clear" w:pos="720"/>
          <w:tab w:val="left" w:pos="1845" w:leader="none"/>
        </w:tabs>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r>
        <w:br/>
      </w:r>
      <w:r>
        <w:rPr>
          <w:rFonts w:eastAsia="Arial" w:cs="Arial" w:ascii="Arial" w:hAnsi="Arial"/>
          <w:b/>
          <w:bCs/>
          <w:color w:val="auto"/>
          <w:spacing w:val="0"/>
          <w:w w:val="100"/>
          <w:sz w:val="20"/>
          <w:szCs w:val="20"/>
          <w:lang w:val="ro-RO"/>
        </w:rPr>
        <w:t>Lista orientativă și neexhaustivă a E.I.P.</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acoperământ ușor pentru protecția scalpului (caschete, bonete, plase de păr,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antifoane externe cu receptor de joasă frecvență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ochelari-mască împotriva radiațiilor X, ochelari-mască împotriva radiațiilor laser, ochelari-mască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măști și căști pentru sudură cu arc (măști de mână, măști cu fixare pe cap sau măști care pot fi montate pe căști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aparate de protecție respiratorie cu mască de sudură detașabilă.</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mâinii și brațului:</w:t>
      </w:r>
    </w:p>
    <w:p>
      <w:pPr>
        <w:pStyle w:val="Normal"/>
        <w:keepNext/>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manșetă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încălțăminte și supraîncălțări cu tălpi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crampoane detașabile pentru gheață, zăpadă sau podele alunecoase.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keepNext/>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keepNext/>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Protecția întregului corp:</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keepNext/>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îmbrăcăminte de protecție rezistentă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pături de protecție.</w:t>
      </w:r>
    </w:p>
    <w:p>
      <w:pPr>
        <w:pStyle w:val="Normal"/>
        <w:keepNext/>
        <w:widowControl/>
        <w:spacing w:before="24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r>
        <w:br/>
      </w: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cuptoare industriale, containere, mașini, silozuri, buncăre și conducte.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fără talpă antiperforație: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transport și depozitare.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Încălțăminte de securitate cu toc sau talpă ortopedică și inserție antiperforație: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utilizarea de mașini a căror funcționare se bazează pe îndepărtarea șpanului în cazul prelucrării de materiale care produc șpan;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căldură radiantă;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containere, spații înguste și cuptoare industriale alimentate cu gaz, în cazul în care poate exista riscul intoxicării cu gaz sau cantitatea de oxigen este insuficientă;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puțuri, canale și alte spații subterane ale sistemului de canalizare.</w:t>
      </w:r>
    </w:p>
    <w:p>
      <w:pPr>
        <w:pStyle w:val="Normal"/>
        <w:keepNext/>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keepNext/>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 xml:space="preserve">Protecția corpului, brațelor și mâinilor</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sablare.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 în spații înguste.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cu cuțite de mână care implică îndreptarea cuțitului spre corp.</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de sudură.</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manipularea de obiecte cu muchii ascuțite, dar nu la utilizarea mașinilor care prezintă riscul ca mănușa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keepNext/>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 xml:space="preserve">Mănuși din împletitură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keepNext/>
        <w:widowControl/>
        <w:numPr>
          <w:ilvl w:val="0"/>
          <w:numId w:val="8"/>
        </w:numPr>
        <w:spacing w:before="0" w:after="40"/>
        <w:ind w:left="720" w:hanging="36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pază;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în silvicultură;</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activități de monitorizare a oleoductelor și gazoductelor.</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lucrări la drumuri și șosele, poduri, căi ferate.</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2"/>
          <w:numId w:val="19"/>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17"/>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 xml:space="preserve">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keepNext/>
        <w:widowControl/>
        <w:numPr>
          <w:ilvl w:val="0"/>
          <w:numId w:val="20"/>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 xml:space="preserve">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2835"/>
        <w:gridCol w:w="2835"/>
        <w:gridCol w:w="1843"/>
        <w:gridCol w:w="1842"/>
      </w:tblGrid>
      <w:tr>
        <w:trPr>
          <w:tblHeader w:val="true"/>
        </w:trPr>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2835"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1843"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cantSplit/>
        </w:trPr>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2835"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1843"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184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24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Pentru {{unequippedPositionsText}} nu este necesară dotarea cu echipament individual de protecție.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{{/unequippedPositionsText}}</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 xml:space="preserve">Observații: La predarea echipamentului individual de protecție se va completa procesul-verbal de predare-primire.</w:t>
      </w:r>
    </w:p>
    <w:p>
      <w:pPr>
        <w:pStyle w:val="Normal"/>
        <w:widowControl/>
        <w:spacing w:before="0" w:after="120"/>
        <w:ind w:hanging="0"/>
        <w:jc w:val="left"/>
        <w:rPr>
          <w:rFonts w:ascii="Arial" w:hAnsi="Arial" w:cs="Arial"/>
          <w:sz w:val="20"/>
          <w:szCs w:val="20"/>
        </w:rPr>
      </w:pPr>
      <w:r>
        <w:rPr>
          <w:rFonts w:eastAsia="Arial" w:cs="Arial" w:ascii="Arial" w:hAnsi="Arial"/>
          <w:b w:val="false"/>
          <w:color w:val="auto"/>
          <w:spacing w:val="0"/>
          <w:w w:val="100"/>
          <w:sz w:val="20"/>
          <w:szCs w:val="20"/>
          <w:lang w:val="ro-RO"/>
        </w:rPr>
        <w:t xml:space="preserve">{{/hasEquippedPositions}}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color w:val="7A7A7A"/>
        <w:sz w:val="15"/>
        <w:szCs w:val="15"/>
      </w:rPr>
    </w:pPr>
    <w:r>
      <w:rP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 %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