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widowControl/>
        <w:spacing w:before="0" w:after="0"/>
        <w:ind w:hanging="0"/>
        <w:jc w:val="center"/>
        <w:rPr>
          <w:rFonts w:ascii="Arial" w:hAnsi="Arial" w:cs="Arial"/>
          <w:b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4"/>
          <w:szCs w:val="20"/>
          <w:lang w:val="ro-RO"/>
        </w:rPr>
        <w:t>DECIZIA</w:t>
      </w:r>
    </w:p>
    <w:p>
      <w:pPr>
        <w:pStyle w:val="Normal"/>
        <w:widowControl/>
        <w:spacing w:before="0" w:after="240"/>
        <w:ind w:hanging="0"/>
        <w:jc w:val="center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Nr. {{f</w:t>
      </w:r>
      <w:r>
        <w:rPr>
          <w:rStyle w:val="tpa1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ire.d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ecisionNumbers.control}} din {{issueDate}}</w:t>
      </w:r>
    </w:p>
    <w:p>
      <w:pPr>
        <w:pStyle w:val="Normal"/>
        <w:widowControl/>
        <w:spacing w:before="0" w:after="120"/>
        <w:ind w:hanging="0" w:right="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În baza prevederilor Legii 307/2006 – art. 19 alin. (1) lit. a) și art. 27 alin. (1) lit. j), ale OMAI 163/2007 – art. 5 lit. b), art. 18 lit. r), art. 149, art. 151 și art. 152 și ale OMAI 135/2023 – art. 8, {{client.representativeName}}, în calitate de {{fire.representativeRoleRunOn}} în c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adrul {{client.legalName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}}, începând cu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 data de {{is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sueDate}},</w:t>
      </w:r>
    </w:p>
    <w:p>
      <w:pPr>
        <w:pStyle w:val="Normal"/>
        <w:keepNext w:val="true"/>
        <w:widowControl/>
        <w:spacing w:before="240" w:after="120"/>
        <w:ind w:hanging="0"/>
        <w:jc w:val="center"/>
        <w:rPr>
          <w:rFonts w:ascii="Arial" w:hAnsi="Arial" w:cs="Arial"/>
          <w:b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0"/>
          <w:szCs w:val="20"/>
          <w:lang w:val="ro-RO"/>
        </w:rPr>
        <w:t>DECIDE:</w:t>
      </w:r>
    </w:p>
    <w:p>
      <w:pPr>
        <w:pStyle w:val="Normal"/>
        <w:keepNext w:val="true"/>
        <w:pageBreakBefore w:val="false"/>
        <w:widowControl/>
        <w:numPr>
          <w:ilvl w:val="0"/>
          <w:numId w:val="0"/>
        </w:numPr>
        <w:spacing w:before="0" w:after="120"/>
        <w:ind w:hanging="0" w:left="0"/>
        <w:jc w:val="left"/>
        <w:rPr>
          <w:rFonts w:ascii="Arial" w:hAnsi="Arial" w:cs="Arial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Controlul propriu al respectării normelor, dispozițiilor și măsurilor de apărare împotriva incendiilor în spațiile utilizate de {{client.legalName}}, astfel:</w:t>
      </w:r>
    </w:p>
    <w:p>
      <w:pPr>
        <w:pStyle w:val="Normal"/>
        <w:keepNext w:val="false"/>
        <w:pageBreakBefore w:val="false"/>
        <w:widowControl/>
        <w:numPr>
          <w:ilvl w:val="0"/>
          <w:numId w:val="3"/>
        </w:numPr>
        <w:spacing w:before="120" w:after="60"/>
        <w:ind w:hanging="0" w:left="0"/>
        <w:jc w:val="left"/>
        <w:rPr>
          <w:rFonts w:ascii="Arial" w:hAnsi="Arial" w:cs="Arial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Structura cu atribuții de apărare împotriva incendiilor, formată din {{fire.coordinator.name}}, având funcția de {{fire.coordinator.jobTitleRunOn}}, coordonator privind apărarea împotriva incendiilor, și {{fireSafetyTechnician.name}}, cadru tehnic cu atribuții în domeniul apărării împotriva incendiilor, reprezentant al {{provider.legalName}}, întocmește anual un grafic pentru efectuarea controlului de către structura cu atribuții și șefii locurilor de muncă.</w:t>
      </w:r>
    </w:p>
    <w:p>
      <w:pPr>
        <w:pStyle w:val="Normal"/>
        <w:keepNext w:val="true"/>
        <w:pageBreakBefore w:val="false"/>
        <w:widowControl/>
        <w:numPr>
          <w:ilvl w:val="0"/>
          <w:numId w:val="3"/>
        </w:numPr>
        <w:spacing w:before="120" w:after="60"/>
        <w:ind w:hanging="0" w:left="0"/>
        <w:jc w:val="left"/>
        <w:rPr>
          <w:rFonts w:ascii="Arial" w:hAnsi="Arial" w:cs="Arial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Periodicitatea planificării controalelor: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40"/>
        <w:ind w:hanging="360" w:left="720"/>
        <w:jc w:val="left"/>
        <w:rPr>
          <w:rFonts w:ascii="Arial" w:hAnsi="Arial" w:cs="Arial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coordonatorul privind apărarea împotriva incendiilor și cadrul tehnic – trimestrial, în lunile martie, iunie, septembrie și decembrie, pe tot perimetrul;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40"/>
        <w:ind w:hanging="360" w:left="720"/>
        <w:jc w:val="left"/>
        <w:rPr>
          <w:rFonts w:ascii="Arial" w:hAnsi="Arial" w:cs="Arial"/>
          <w:lang w:val="ro-RO"/>
        </w:rPr>
      </w:pPr>
      <w:r>
        <w:t>{{#fire.hasThirdParties}}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40"/>
        <w:ind w:hanging="360" w:left="720"/>
        <w:jc w:val="left"/>
        <w:rPr>
          <w:rFonts w:ascii="Arial" w:hAnsi="Arial" w:cs="Arial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coordonatorul privind apărarea împotriva incendiilor și cadrul tehnic – trimestrial, în lunile martie, iunie, septembrie și decembrie, la persoanele juridice care desfășoară activități în spațiile {{client.legalName}};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40"/>
        <w:ind w:hanging="360" w:left="720"/>
        <w:jc w:val="left"/>
        <w:rPr>
          <w:rFonts w:ascii="Arial" w:hAnsi="Arial" w:cs="Arial"/>
          <w:lang w:val="ro-RO"/>
        </w:rPr>
      </w:pPr>
      <w:r>
        <w:t>{{/fire.hasThirdParties}}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40"/>
        <w:ind w:hanging="360" w:left="720"/>
        <w:jc w:val="left"/>
        <w:rPr>
          <w:rFonts w:ascii="Arial" w:hAnsi="Arial" w:cs="Arial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{{#fire.hasThirdParties}}c){{/fire.hasThirdParties}}{{^fire.hasThirdParties}}b){{/fire.hasThirdParties}}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coordonatorul privind apărarea împotriva incendiilor, cu cadrul tehnic, după caz – lunar, controlul fiecărui stingător de incendiu, cu înscrierea rezultatelor în registrul de evidență prevăzut de OMAI 135/2023 – anexa 2{{#fire.hasGasExtinguishers}}, iar la cel mult 6 luni, în lunile iunie și decembrie, verificarea prin cântărire a stingătoarelor cu CO₂ sau agent curat (OMAI 135/2023 – art. 8 alin. (3)){{/fire.hasGasExtinguishers}};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40"/>
        <w:ind w:hanging="360" w:left="720"/>
        <w:jc w:val="left"/>
        <w:rPr>
          <w:rFonts w:ascii="Arial" w:hAnsi="Arial" w:cs="Arial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{{#fire.hasThirdParties}}d){{/fire.hasThirdParties}}{{^fire.hasThirdParties}}c){{/fire.hasThirdParties}}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șefii locurilor de muncă – zilnic sau pe schimb, la locul de muncă pe care îl conduc (OMAI 163/2007 – art. 149 alin. (1) lit. c));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40"/>
        <w:ind w:hanging="360" w:left="720"/>
        <w:jc w:val="left"/>
        <w:rPr>
          <w:rFonts w:ascii="Arial" w:hAnsi="Arial" w:cs="Arial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{{#fire.hasThirdParties}}e){{/fire.hasThirdParties}}{{^fire.hasThirdParties}}d){{/fire.hasThirdParties}}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personalul de execuție – zilnic, la terminarea programului de lucru;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120"/>
        <w:ind w:hanging="360" w:left="720"/>
        <w:jc w:val="left"/>
        <w:rPr>
          <w:rFonts w:ascii="Arial" w:hAnsi="Arial" w:cs="Arial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{{#fire.hasThirdParties}}f){{/fire.hasThirdParties}}{{^fire.hasThirdParties}}e){{/fire.hasThirdParties}}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{{client.representativeName}}, în calitate de {{fire.representativeRoleRunOn}}, împreună cu coordonatorul privind apărarea împotriva incendiilor și cadrul tehnic – anual, în luna ianuarie, pe tot perimetrul.</w:t>
      </w:r>
    </w:p>
    <w:p>
      <w:pPr>
        <w:pStyle w:val="Normal"/>
        <w:keepNext w:val="true"/>
        <w:pageBreakBefore w:val="false"/>
        <w:widowControl/>
        <w:numPr>
          <w:ilvl w:val="0"/>
          <w:numId w:val="3"/>
        </w:numPr>
        <w:spacing w:before="120" w:after="60"/>
        <w:ind w:hanging="0" w:left="0"/>
        <w:jc w:val="left"/>
        <w:rPr>
          <w:rFonts w:ascii="Arial" w:hAnsi="Arial" w:cs="Arial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Controlul efectuat se finalizează prin proces-verbal de control, în care se consemnează următoarele: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40"/>
        <w:ind w:hanging="360" w:left="720"/>
        <w:jc w:val="left"/>
        <w:rPr>
          <w:rFonts w:ascii="Arial" w:hAnsi="Arial" w:cs="Arial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construcțiile, instalațiile și zonele cuprinse în control;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40"/>
        <w:ind w:hanging="360" w:left="720"/>
        <w:jc w:val="left"/>
        <w:rPr>
          <w:rFonts w:ascii="Arial" w:hAnsi="Arial" w:cs="Arial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constatările rezultate din teren;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120"/>
        <w:ind w:hanging="360" w:left="720"/>
        <w:jc w:val="left"/>
        <w:rPr>
          <w:rFonts w:ascii="Arial" w:hAnsi="Arial" w:cs="Arial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propuneri de măsuri și acțiuni de înlăturare a neregulilor și de îmbunătățire a activității.</w:t>
      </w:r>
    </w:p>
    <w:p>
      <w:pPr>
        <w:pStyle w:val="Normal"/>
        <w:keepNext w:val="false"/>
        <w:pageBreakBefore w:val="false"/>
        <w:widowControl/>
        <w:numPr>
          <w:ilvl w:val="0"/>
          <w:numId w:val="3"/>
        </w:numPr>
        <w:spacing w:before="120" w:after="60"/>
        <w:ind w:hanging="0" w:left="0"/>
        <w:jc w:val="left"/>
        <w:rPr>
          <w:rFonts w:ascii="Arial" w:hAnsi="Arial" w:cs="Arial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Constatările se aduc la cunoștința coordonatorului privind apărarea împotriva incendiilor și a cadrului tehnic de către șefii locurilor de muncă, lunar.</w:t>
      </w:r>
    </w:p>
    <w:p>
      <w:pPr>
        <w:pStyle w:val="Normal"/>
        <w:keepNext w:val="false"/>
        <w:pageBreakBefore w:val="false"/>
        <w:widowControl/>
        <w:numPr>
          <w:ilvl w:val="0"/>
          <w:numId w:val="3"/>
        </w:numPr>
        <w:spacing w:before="120" w:after="60"/>
        <w:ind w:hanging="0" w:left="0"/>
        <w:jc w:val="left"/>
        <w:rPr>
          <w:rFonts w:ascii="Arial" w:hAnsi="Arial" w:cs="Arial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Coordonatorul privind apărarea împotriva incendiilor și cadrul tehnic centralizează constatările șefilor locurilor de muncă.</w:t>
      </w:r>
    </w:p>
    <w:p>
      <w:pPr>
        <w:pStyle w:val="Normal"/>
        <w:keepNext w:val="false"/>
        <w:pageBreakBefore w:val="false"/>
        <w:widowControl/>
        <w:numPr>
          <w:ilvl w:val="0"/>
          <w:numId w:val="3"/>
        </w:numPr>
        <w:spacing w:before="120" w:after="60"/>
        <w:ind w:hanging="0" w:left="0"/>
        <w:jc w:val="left"/>
        <w:rPr>
          <w:rFonts w:ascii="Arial" w:hAnsi="Arial" w:cs="Arial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Semestrial și anual se analizează de către conducere activitatea de apărare împotriva incendiilor și rezultatul controalelor efectuate de către structurile din subordine.</w:t>
      </w:r>
    </w:p>
    <w:p>
      <w:pPr>
        <w:pStyle w:val="Normal"/>
        <w:keepNext w:val="true"/>
        <w:pageBreakBefore w:val="false"/>
        <w:widowControl/>
        <w:numPr>
          <w:ilvl w:val="0"/>
          <w:numId w:val="3"/>
        </w:numPr>
        <w:spacing w:before="120" w:after="60"/>
        <w:ind w:hanging="0" w:left="0"/>
        <w:jc w:val="left"/>
        <w:rPr>
          <w:rFonts w:ascii="Arial" w:hAnsi="Arial" w:cs="Arial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Structura cu atribuții de apărare împotriva incendiilor asigură întocmirea raportului de analiză, pe care cadrul tehnic îl prezintă conducerii semestrial sau ori de câte ori situația impune (Legea 307/2006 – art. 27 alin. (1) lit. j)), cu următorul conținut: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40"/>
        <w:ind w:hanging="360" w:left="720"/>
        <w:jc w:val="left"/>
        <w:rPr>
          <w:rFonts w:ascii="Arial" w:hAnsi="Arial" w:cs="Arial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implementarea noilor prevederi legale;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40"/>
        <w:ind w:hanging="360" w:left="720"/>
        <w:jc w:val="left"/>
        <w:rPr>
          <w:rFonts w:ascii="Arial" w:hAnsi="Arial" w:cs="Arial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stadiul îndeplinirii măsurilor stabilite;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40"/>
        <w:ind w:hanging="360" w:left="720"/>
        <w:jc w:val="left"/>
        <w:rPr>
          <w:rFonts w:ascii="Arial" w:hAnsi="Arial" w:cs="Arial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deficiențele care se manifestă în domeniul apărării împotriva incendiilor;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40"/>
        <w:ind w:hanging="360" w:left="720"/>
        <w:jc w:val="left"/>
        <w:rPr>
          <w:rFonts w:ascii="Arial" w:hAnsi="Arial" w:cs="Arial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d)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concluzii din activitatea de instruire și pregătire a personalului;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40"/>
        <w:ind w:hanging="360" w:left="720"/>
        <w:jc w:val="left"/>
        <w:rPr>
          <w:rFonts w:ascii="Arial" w:hAnsi="Arial" w:cs="Arial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e)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relațiile cu terții privind apărarea împotriva incendiilor;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40"/>
        <w:ind w:hanging="360" w:left="720"/>
        <w:jc w:val="left"/>
        <w:rPr>
          <w:rFonts w:ascii="Arial" w:hAnsi="Arial" w:cs="Arial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f)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asigurarea dotării, calitatea și funcționarea mijloacelor tehnice de apărare împotriva incendiilor;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40"/>
        <w:ind w:hanging="360" w:left="720"/>
        <w:jc w:val="left"/>
        <w:rPr>
          <w:rFonts w:ascii="Arial" w:hAnsi="Arial" w:cs="Arial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g)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eficiența activităților desfășurate de structurile cu atribuții în domeniul apărării împotriva incendiilor;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120"/>
        <w:ind w:hanging="360" w:left="720"/>
        <w:jc w:val="left"/>
        <w:rPr>
          <w:rFonts w:ascii="Arial" w:hAnsi="Arial" w:cs="Arial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h)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propuneri de măsuri pentru îmbunătățirea activității.</w:t>
      </w:r>
    </w:p>
    <w:p>
      <w:pPr>
        <w:pStyle w:val="Normal"/>
        <w:keepNext w:val="false"/>
        <w:pageBreakBefore w:val="false"/>
        <w:widowControl/>
        <w:numPr>
          <w:ilvl w:val="0"/>
          <w:numId w:val="3"/>
        </w:numPr>
        <w:spacing w:before="120" w:after="60"/>
        <w:ind w:hanging="0" w:left="0"/>
        <w:jc w:val="left"/>
        <w:rPr>
          <w:rFonts w:ascii="Arial" w:hAnsi="Arial" w:cs="Arial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Aspectele rezultate în urma analizei se consemnează în procesul-verbal al ședinței de analiză.</w:t>
      </w:r>
    </w:p>
    <w:p>
      <w:pPr>
        <w:pStyle w:val="Normal"/>
        <w:keepNext w:val="true"/>
        <w:pageBreakBefore w:val="false"/>
        <w:widowControl/>
        <w:numPr>
          <w:ilvl w:val="0"/>
          <w:numId w:val="3"/>
        </w:numPr>
        <w:spacing w:before="120" w:after="60"/>
        <w:ind w:hanging="0" w:left="0"/>
        <w:jc w:val="left"/>
        <w:rPr>
          <w:rFonts w:ascii="Arial" w:hAnsi="Arial" w:cs="Arial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Deciziile care se iau se înscriu și se aprobă în hotărârea ședinței de analiză și se aduc la cunoștința persoanelor care întocmesc următoarele documente: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40"/>
        <w:ind w:hanging="360" w:left="720"/>
        <w:jc w:val="left"/>
        <w:rPr>
          <w:rFonts w:ascii="Arial" w:hAnsi="Arial" w:cs="Arial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graficul pentru efectuarea controlului;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40"/>
        <w:ind w:hanging="360" w:left="720"/>
        <w:jc w:val="left"/>
        <w:rPr>
          <w:rFonts w:ascii="Arial" w:hAnsi="Arial" w:cs="Arial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procesul-verbal de control;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40"/>
        <w:ind w:hanging="360" w:left="720"/>
        <w:jc w:val="left"/>
        <w:rPr>
          <w:rFonts w:ascii="Arial" w:hAnsi="Arial" w:cs="Arial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constatările șefilor locurilor de muncă;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40"/>
        <w:ind w:hanging="360" w:left="720"/>
        <w:jc w:val="left"/>
        <w:rPr>
          <w:rFonts w:ascii="Arial" w:hAnsi="Arial" w:cs="Arial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d)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sinteza lunară întocmită de structura cu atribuții;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40"/>
        <w:ind w:hanging="360" w:left="720"/>
        <w:jc w:val="left"/>
        <w:rPr>
          <w:rFonts w:ascii="Arial" w:hAnsi="Arial" w:cs="Arial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e)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registrul de evidență a controlului stingătoarelor de incendiu;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40"/>
        <w:ind w:hanging="360" w:left="720"/>
        <w:jc w:val="left"/>
        <w:rPr>
          <w:rFonts w:ascii="Arial" w:hAnsi="Arial" w:cs="Arial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f)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rezultatul controlului semestrial executat de structura cu atribuții;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40"/>
        <w:ind w:hanging="360" w:left="720"/>
        <w:jc w:val="left"/>
        <w:rPr>
          <w:rFonts w:ascii="Arial" w:hAnsi="Arial" w:cs="Arial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g)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raportul de analiză a activității de apărare împotriva incendiilor, semestrial și anual;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40"/>
        <w:ind w:hanging="360" w:left="720"/>
        <w:jc w:val="left"/>
        <w:rPr>
          <w:rFonts w:ascii="Arial" w:hAnsi="Arial" w:cs="Arial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h)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procesele-verbale ale ședințelor de analiză a activității;</w:t>
      </w:r>
    </w:p>
    <w:p>
      <w:pPr>
        <w:pStyle w:val="Normal"/>
        <w:keepNext w:val="true"/>
        <w:pageBreakBefore w:val="false"/>
        <w:widowControl/>
        <w:numPr>
          <w:ilvl w:val="0"/>
          <w:numId w:val="0"/>
        </w:numPr>
        <w:spacing w:before="0" w:after="120"/>
        <w:ind w:hanging="360" w:left="720"/>
        <w:jc w:val="left"/>
        <w:rPr>
          <w:rFonts w:ascii="Arial" w:hAnsi="Arial" w:cs="Arial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i)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hotărârile adoptate în urma ședinței de analiză.</w:t>
      </w:r>
    </w:p>
    <w:p>
      <w:pPr>
        <w:pStyle w:val="Normal"/>
        <w:keepNext w:val="true"/>
        <w:pageBreakBefore w:val="false"/>
        <w:widowControl/>
        <w:numPr>
          <w:ilvl w:val="0"/>
          <w:numId w:val="3"/>
        </w:numPr>
        <w:spacing w:before="120" w:after="60"/>
        <w:ind w:hanging="0" w:left="0"/>
        <w:jc w:val="left"/>
        <w:rPr>
          <w:rFonts w:ascii="Arial" w:hAnsi="Arial" w:cs="Arial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De ducerea la îndeplinire a prezentei decizii răspund structura cu atribuții și șefii locurilor de muncă.</w:t>
      </w:r>
    </w:p>
    <w:p>
      <w:pPr>
        <w:pStyle w:val="Normal"/>
        <w:keepNext w:val="true"/>
        <w:pageBreakBefore w:val="false"/>
        <w:widowControl/>
        <w:numPr>
          <w:ilvl w:val="0"/>
          <w:numId w:val="3"/>
        </w:numPr>
        <w:spacing w:before="120" w:after="120"/>
        <w:ind w:hanging="0" w:left="0"/>
        <w:jc w:val="left"/>
        <w:rPr>
          <w:rFonts w:ascii="Arial" w:hAnsi="Arial" w:cs="Arial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Graficul controlului propriu de verificare a respectării normelor, dispozițiilor și măsurilor de apărare împotriva incendiilor pentru {{client.legalName}} este prezentat în tabelul următor: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837"/>
        <w:gridCol w:w="1365"/>
        <w:gridCol w:w="1365"/>
        <w:gridCol w:w="399"/>
        <w:gridCol w:w="399"/>
        <w:gridCol w:w="399"/>
        <w:gridCol w:w="399"/>
        <w:gridCol w:w="399"/>
        <w:gridCol w:w="398"/>
        <w:gridCol w:w="400"/>
        <w:gridCol w:w="398"/>
        <w:gridCol w:w="400"/>
        <w:gridCol w:w="398"/>
        <w:gridCol w:w="400"/>
        <w:gridCol w:w="399"/>
      </w:tblGrid>
      <w:tr>
        <w:trPr>
          <w:tblHeader w:val="true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tru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Categoria de persoane care execută controlul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Perioada de control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Sectoare controlate</w:t>
            </w: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I</w:t>
            </w: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II</w:t>
            </w: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III</w:t>
            </w: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IV</w:t>
            </w: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V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VI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VII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VIII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IX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XI</w:t>
            </w: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XII</w:t>
            </w:r>
          </w:p>
        </w:tc>
      </w:tr>
      <w:tr>
        <w:trPr/>
        <w:tc>
          <w:tcPr>
            <w:tcW w:w="18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Coordonatorul privind apărarea împotriva incendiilor și cadrul tehnic</w:t>
            </w:r>
          </w:p>
        </w:tc>
        <w:tc>
          <w:tcPr>
            <w:tcW w:w="13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TRIMESTRIAL</w:t>
            </w:r>
          </w:p>
        </w:tc>
        <w:tc>
          <w:tcPr>
            <w:tcW w:w="13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Pe tot perimetrul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–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–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–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–</w:t>
            </w:r>
          </w:p>
        </w:tc>
        <w:tc>
          <w:tcPr>
            <w:tcW w:w="3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–</w:t>
            </w:r>
          </w:p>
        </w:tc>
        <w:tc>
          <w:tcPr>
            <w:tcW w:w="3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–</w:t>
            </w:r>
          </w:p>
        </w:tc>
        <w:tc>
          <w:tcPr>
            <w:tcW w:w="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3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–</w:t>
            </w:r>
          </w:p>
        </w:tc>
        <w:tc>
          <w:tcPr>
            <w:tcW w:w="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–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</w:tr>
      <w:tr>
        <w:trPr/>
        <w:tc>
          <w:tcPr>
            <w:tcW w:w="18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{{#fire.hasThirdParties}}Coordonatorul privind apărarea împotriva incendiilor și cadrul tehnic</w:t>
            </w:r>
          </w:p>
        </w:tc>
        <w:tc>
          <w:tcPr>
            <w:tcW w:w="13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TRIMESTRIAL</w:t>
            </w:r>
          </w:p>
        </w:tc>
        <w:tc>
          <w:tcPr>
            <w:tcW w:w="13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La persoanele juridice care desfășoară activități în perimetru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–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–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–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–</w:t>
            </w:r>
          </w:p>
        </w:tc>
        <w:tc>
          <w:tcPr>
            <w:tcW w:w="3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–</w:t>
            </w:r>
          </w:p>
        </w:tc>
        <w:tc>
          <w:tcPr>
            <w:tcW w:w="3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–</w:t>
            </w:r>
          </w:p>
        </w:tc>
        <w:tc>
          <w:tcPr>
            <w:tcW w:w="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3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–</w:t>
            </w:r>
          </w:p>
        </w:tc>
        <w:tc>
          <w:tcPr>
            <w:tcW w:w="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–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X{{/fire.hasThirdParties}}</w:t>
            </w:r>
          </w:p>
        </w:tc>
      </w:tr>
      <w:tr>
        <w:trPr/>
        <w:tc>
          <w:tcPr>
            <w:tcW w:w="18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Coordonatorul privind apărarea împotriva incendiilor, cu cadrul tehnic, după caz</w:t>
            </w:r>
          </w:p>
        </w:tc>
        <w:tc>
          <w:tcPr>
            <w:tcW w:w="13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LUNAR</w:t>
            </w:r>
          </w:p>
        </w:tc>
        <w:tc>
          <w:tcPr>
            <w:tcW w:w="13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Fiecare stingător de incendiu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3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3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3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</w:tr>
      <w:tr>
        <w:trPr/>
        <w:tc>
          <w:tcPr>
            <w:tcW w:w="18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{{#fire.hasGasExtinguishers}}Coordonatorul privind apărarea împotriva incendiilor, cu cadrul tehnic, după caz</w:t>
            </w:r>
          </w:p>
        </w:tc>
        <w:tc>
          <w:tcPr>
            <w:tcW w:w="13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LA CEL MULT 6 LUNI</w:t>
            </w:r>
          </w:p>
        </w:tc>
        <w:tc>
          <w:tcPr>
            <w:tcW w:w="13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Stingătoarele cu CO₂ sau agent curat, prin cântărire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–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–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–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–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–</w:t>
            </w:r>
          </w:p>
        </w:tc>
        <w:tc>
          <w:tcPr>
            <w:tcW w:w="3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–</w:t>
            </w:r>
          </w:p>
        </w:tc>
        <w:tc>
          <w:tcPr>
            <w:tcW w:w="3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–</w:t>
            </w:r>
          </w:p>
        </w:tc>
        <w:tc>
          <w:tcPr>
            <w:tcW w:w="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–</w:t>
            </w:r>
          </w:p>
        </w:tc>
        <w:tc>
          <w:tcPr>
            <w:tcW w:w="3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–</w:t>
            </w:r>
          </w:p>
        </w:tc>
        <w:tc>
          <w:tcPr>
            <w:tcW w:w="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–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X{{/fire.hasGasExtinguishers}}</w:t>
            </w:r>
          </w:p>
        </w:tc>
      </w:tr>
      <w:tr>
        <w:trPr/>
        <w:tc>
          <w:tcPr>
            <w:tcW w:w="18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Șefii locurilor de muncă</w:t>
            </w:r>
          </w:p>
        </w:tc>
        <w:tc>
          <w:tcPr>
            <w:tcW w:w="13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ZILNIC SAU PE SCHIMB</w:t>
            </w:r>
          </w:p>
        </w:tc>
        <w:tc>
          <w:tcPr>
            <w:tcW w:w="13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Locul de muncă condus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3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3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3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</w:tr>
      <w:tr>
        <w:trPr/>
        <w:tc>
          <w:tcPr>
            <w:tcW w:w="18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Personalul de execuție</w:t>
            </w:r>
          </w:p>
        </w:tc>
        <w:tc>
          <w:tcPr>
            <w:tcW w:w="13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ZILNIC</w:t>
            </w:r>
          </w:p>
        </w:tc>
        <w:tc>
          <w:tcPr>
            <w:tcW w:w="13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Zona de lucru, la terminarea programului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3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3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3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</w:tr>
      <w:tr>
        <w:trPr/>
        <w:tc>
          <w:tcPr>
            <w:tcW w:w="18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{{client.representativeRole}}, cu coordonatorul privind apărarea împotriva incendiilor și cadrul tehnic</w:t>
            </w:r>
          </w:p>
        </w:tc>
        <w:tc>
          <w:tcPr>
            <w:tcW w:w="13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ANUAL</w:t>
            </w:r>
          </w:p>
        </w:tc>
        <w:tc>
          <w:tcPr>
            <w:tcW w:w="13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Pe tot perimetrul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X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–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–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–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–</w:t>
            </w:r>
          </w:p>
        </w:tc>
        <w:tc>
          <w:tcPr>
            <w:tcW w:w="3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–</w:t>
            </w:r>
          </w:p>
        </w:tc>
        <w:tc>
          <w:tcPr>
            <w:tcW w:w="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–</w:t>
            </w:r>
          </w:p>
        </w:tc>
        <w:tc>
          <w:tcPr>
            <w:tcW w:w="3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–</w:t>
            </w:r>
          </w:p>
        </w:tc>
        <w:tc>
          <w:tcPr>
            <w:tcW w:w="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–</w:t>
            </w:r>
          </w:p>
        </w:tc>
        <w:tc>
          <w:tcPr>
            <w:tcW w:w="3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–</w:t>
            </w:r>
          </w:p>
        </w:tc>
        <w:tc>
          <w:tcPr>
            <w:tcW w:w="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–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–</w:t>
            </w:r>
          </w:p>
        </w:tc>
      </w:tr>
    </w:tbl>
    <w:p>
      <w:pPr>
        <w:pStyle w:val="Normal"/>
        <w:keepNext w:val="true"/>
        <w:widowControl/>
        <w:spacing w:before="480" w:after="0"/>
        <w:ind w:hanging="0" w:left="0" w:right="0"/>
        <w:jc w:val="center"/>
        <w:rPr>
          <w:rFonts w:ascii="Arial" w:hAnsi="Arial" w:cs="Arial"/>
          <w:b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0"/>
          <w:szCs w:val="20"/>
          <w:lang w:val="ro-RO"/>
        </w:rPr>
        <w:t>{{cli</w:t>
      </w:r>
      <w:r>
        <w:rPr>
          <w:rStyle w:val="PageNumber"/>
          <w:rFonts w:eastAsia="Arial" w:cs="Arial" w:ascii="Arial" w:hAnsi="Arial"/>
          <w:b/>
          <w:color w:val="auto"/>
          <w:spacing w:val="0"/>
          <w:w w:val="100"/>
          <w:sz w:val="20"/>
          <w:szCs w:val="20"/>
          <w:lang w:val="ro-RO"/>
        </w:rPr>
        <w:t>ent.legalName}}</w:t>
      </w:r>
    </w:p>
    <w:p>
      <w:pPr>
        <w:pStyle w:val="Normal"/>
        <w:keepNext w:val="true"/>
        <w:widowControl/>
        <w:spacing w:before="0" w:after="240"/>
        <w:ind w:hanging="0" w:left="0" w:right="0"/>
        <w:jc w:val="center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{{client.representativeRole}}</w:t>
      </w:r>
    </w:p>
    <w:p>
      <w:pPr>
        <w:pStyle w:val="Normal"/>
        <w:keepNext w:val="false"/>
        <w:widowControl/>
        <w:spacing w:before="0" w:after="120"/>
        <w:ind w:hanging="0" w:left="0" w:right="0"/>
        <w:jc w:val="center"/>
        <w:rPr>
          <w:rFonts w:ascii="Arial" w:hAnsi="Arial" w:cs="Arial"/>
          <w:b/>
          <w:lang w:val="fr-FR"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0"/>
          <w:szCs w:val="20"/>
          <w:lang w:val="ro-RO"/>
        </w:rPr>
        <w:t>{{client.representativeName}}</w:t>
      </w:r>
    </w:p>
    <w:p>
      <w:pPr>
        <w:pStyle w:val="Normal"/>
        <w:keepNext w:val="true"/>
        <w:widowControl/>
        <w:spacing w:before="240" w:after="120"/>
        <w:ind w:hanging="0"/>
        <w:jc w:val="center"/>
        <w:rPr>
          <w:rFonts w:ascii="Arial" w:hAnsi="Arial" w:cs="Arial"/>
          <w:b/>
          <w:lang w:val="it-CH"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0"/>
          <w:szCs w:val="20"/>
          <w:lang w:val="ro-RO"/>
        </w:rPr>
        <w:t>PROCES-VERBAL DE LUARE DE CUNOȘTINȚĂ</w:t>
      </w:r>
    </w:p>
    <w:p>
      <w:pPr>
        <w:pStyle w:val="Normal"/>
        <w:keepNext w:val="true"/>
        <w:widowControl/>
        <w:spacing w:before="0" w:after="120"/>
        <w:ind w:hanging="0" w:right="0"/>
        <w:jc w:val="left"/>
        <w:rPr>
          <w:rStyle w:val="tpa1"/>
          <w:rFonts w:ascii="Arial" w:hAnsi="Arial" w:cs="Arial"/>
          <w:lang w:val="it-CH"/>
        </w:rPr>
      </w:pPr>
      <w:r>
        <w:rPr>
          <w:rStyle w:val="tpa1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Prin semnătura din tabelul nominal de mai jos, fiecare persoană des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</w:t>
      </w:r>
      <w:r>
        <w:rPr>
          <w:rStyle w:val="tpa1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mnată confirmă că a luat cunoștință de prezenta decizie și se obligă să respecte întocmai obligațiile, atribuțiile și răspunderile ce reies din decizia {{cli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ent.legalName}}</w:t>
      </w:r>
      <w:r>
        <w:rPr>
          <w:rStyle w:val="tpa1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 nr. {{fire.deci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sionNumbers.control}} din {{issueDate}}.</w:t>
      </w:r>
    </w:p>
    <w:tbl>
      <w:tblPr>
        <w:tblW w:w="5000" w:type="pct"/>
        <w:jc w:val="left"/>
        <w:tblInd w:w="0" w:type="dxa"/>
        <w:tblLayout w:type="fixed"/>
        <w:tblCellMar>
          <w:top w:w="17" w:type="dxa"/>
          <w:left w:w="108" w:type="dxa"/>
          <w:bottom w:w="17" w:type="dxa"/>
          <w:right w:w="108" w:type="dxa"/>
        </w:tblCellMar>
      </w:tblPr>
      <w:tblGrid>
        <w:gridCol w:w="620"/>
        <w:gridCol w:w="3459"/>
        <w:gridCol w:w="2075"/>
        <w:gridCol w:w="1298"/>
        <w:gridCol w:w="1903"/>
      </w:tblGrid>
      <w:tr>
        <w:trPr>
          <w:tblHeader w:val="true"/>
          <w:trHeight w:val="70" w:hRule="atLeast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keepNext w:val="true"/>
              <w:widowControl/>
              <w:spacing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Nr. crt.</w:t>
            </w:r>
          </w:p>
        </w:tc>
        <w:tc>
          <w:tcPr>
            <w:tcW w:w="3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Numele și prenumele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Funcția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Data primirii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Semnătura de primire</w:t>
            </w:r>
          </w:p>
        </w:tc>
      </w:tr>
      <w:tr>
        <w:trPr>
          <w:trHeight w:val="290" w:hRule="atLeast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widowControl/>
              <w:numPr>
                <w:ilvl w:val="0"/>
                <w:numId w:val="2"/>
              </w:numPr>
              <w:snapToGrid w:val="false"/>
              <w:spacing w:before="0" w:after="0"/>
              <w:ind w:hanging="360" w:left="360" w:right="-108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3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rPr>
                <w:rFonts w:ascii="Arial" w:hAnsi="Arial" w:cs="Arial"/>
                <w:bCs/>
                <w:lang w:val="fr-FR"/>
              </w:rPr>
            </w:pPr>
            <w:r>
              <w:rPr>
                <w:rFonts w:eastAsia="Arial" w:cs="Arial" w:ascii="Arial" w:hAnsi="Arial"/>
                <w:bCs/>
                <w:color w:val="auto"/>
                <w:spacing w:val="0"/>
                <w:w w:val="100"/>
                <w:sz w:val="20"/>
                <w:szCs w:val="20"/>
                <w:lang w:val="ro-RO"/>
              </w:rPr>
              <w:t>{{#fire.designated}}{{name}}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  <w:t>{{jobTitle}}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  <w:t>{{issueDate}}{{/fire.designated}}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trHeight w:val="290" w:hRule="atLeast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widowControl/>
              <w:numPr>
                <w:ilvl w:val="0"/>
                <w:numId w:val="2"/>
              </w:numPr>
              <w:snapToGrid w:val="false"/>
              <w:spacing w:before="0" w:after="0"/>
              <w:ind w:hanging="360" w:left="360" w:right="-108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3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trHeight w:val="290" w:hRule="atLeast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snapToGrid w:val="false"/>
              <w:spacing w:before="0" w:after="0"/>
              <w:ind w:hanging="360" w:left="360" w:right="-108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3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</w:tbl>
    <w:p>
      <w:pPr>
        <w:pStyle w:val="HTMLPreformatted"/>
        <w:widowControl/>
        <w:spacing w:before="0" w:after="0"/>
        <w:ind w:hanging="0"/>
        <w:jc w:val="left"/>
        <w:rPr>
          <w:rFonts w:ascii="Arial" w:hAnsi="Arial" w:cs="Arial"/>
          <w:sz w:val="2"/>
          <w:lang w:val="fr-FR"/>
        </w:rPr>
      </w:pPr>
      <w:r>
        <w:rPr>
          <w:rFonts w:eastAsia="Arial" w:cs="Arial" w:ascii="Arial" w:hAnsi="Arial"/>
          <w:color w:val="auto"/>
          <w:spacing w:val="0"/>
          <w:w w:val="100"/>
          <w:sz w:val="2"/>
          <w:szCs w:val="20"/>
          <w:lang w:val="ro-RO"/>
        </w:rPr>
      </w:r>
    </w:p>
    <w:sectPr>
      <w:footerReference w:type="default" r:id="rId2"/>
      <w:type w:val="nextPage"/>
      <w:pgSz w:w="11906" w:h="16838"/>
      <w:pgMar w:left="1417" w:right="1134" w:gutter="0" w:header="0" w:top="1134" w:footer="680" w:bottom="11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2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Helvetica-Condensed-R">
    <w:altName w:val="Arial Narrow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0"/>
      <w:ind w:hanging="0" w:left="0" w:right="0"/>
      <w:jc w:val="center"/>
      <w:rPr>
        <w:rFonts w:ascii="Arial" w:hAnsi="Arial" w:eastAsia="Arial" w:cs="Arial"/>
        <w:b w:val="false"/>
        <w:color w:val="7A7A7A"/>
        <w:spacing w:val="0"/>
        <w:w w:val="100"/>
        <w:sz w:val="15"/>
        <w:szCs w:val="15"/>
        <w:lang w:val="ro-RO"/>
      </w:rPr>
    </w:pPr>
    <w:r>
      <w:rPr>
        <w:rFonts w:eastAsia="Arial" w:cs="Arial" w:ascii="Arial" w:hAnsi="Arial"/>
        <w:b w:val="false"/>
        <w:color w:val="7A7A7A"/>
        <w:spacing w:val="0"/>
        <w:w w:val="100"/>
        <w:sz w:val="15"/>
        <w:szCs w:val="15"/>
        <w:lang w:val="ro-RO"/>
      </w:rPr>
      <w:t>{{#branding}}Document generat cu SSM Ușor · ssmusor.ro{{/branding}}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suff w:val="space"/>
      <w:lvlText w:val="Art. %1."/>
      <w:lvlJc w:val="left"/>
      <w:pPr>
        <w:tabs>
          <w:tab w:val="num" w:pos="0"/>
        </w:tabs>
        <w:ind w:left="0" w:hanging="0"/>
      </w:pPr>
      <w:rPr>
        <w:rFonts w:ascii="Arial" w:hAnsi="Arial"/>
        <w:b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outlineLvl w:val="0"/>
    </w:pPr>
    <w:rPr>
      <w:b/>
      <w:sz w:val="24"/>
      <w:u w:val="single"/>
    </w:rPr>
  </w:style>
  <w:style w:type="paragraph" w:styleId="Heading2">
    <w:name w:val="heading 2"/>
    <w:basedOn w:val="Normal"/>
    <w:next w:val="Normal"/>
    <w:pPr>
      <w:keepNext w:val="true"/>
      <w:numPr>
        <w:ilvl w:val="1"/>
        <w:numId w:val="1"/>
      </w:numPr>
      <w:spacing w:lineRule="auto" w:line="360"/>
      <w:ind w:firstLine="1440" w:left="0" w:right="0"/>
      <w:jc w:val="right"/>
      <w:outlineLvl w:val="1"/>
    </w:pPr>
    <w:rPr>
      <w:sz w:val="28"/>
    </w:rPr>
  </w:style>
  <w:style w:type="paragraph" w:styleId="Heading3">
    <w:name w:val="heading 3"/>
    <w:basedOn w:val="Normal"/>
    <w:next w:val="Normal"/>
    <w:pPr>
      <w:keepNext w:val="true"/>
      <w:numPr>
        <w:ilvl w:val="2"/>
        <w:numId w:val="1"/>
      </w:numPr>
      <w:spacing w:lineRule="auto" w:line="360"/>
      <w:jc w:val="center"/>
      <w:outlineLvl w:val="2"/>
    </w:pPr>
    <w:rPr>
      <w:sz w:val="28"/>
    </w:rPr>
  </w:style>
  <w:style w:type="paragraph" w:styleId="Heading4">
    <w:name w:val="heading 4"/>
    <w:basedOn w:val="Normal"/>
    <w:next w:val="Normal"/>
    <w:pPr>
      <w:keepNext w:val="true"/>
      <w:numPr>
        <w:ilvl w:val="3"/>
        <w:numId w:val="1"/>
      </w:numPr>
      <w:jc w:val="right"/>
      <w:outlineLvl w:val="3"/>
    </w:pPr>
    <w:rPr>
      <w:sz w:val="28"/>
      <w:szCs w:val="28"/>
    </w:rPr>
  </w:style>
  <w:style w:type="character" w:styleId="WW8Num2z0">
    <w:name w:val="WW8Num2z0"/>
    <w:rPr>
      <w:rFonts w:ascii="Symbol" w:hAnsi="Symbol" w:cs="Symbol"/>
    </w:rPr>
  </w:style>
  <w:style w:type="character" w:styleId="WW8Num2z1">
    <w:name w:val="WW8Num2z1"/>
    <w:rPr>
      <w:rFonts w:ascii="Courier New" w:hAnsi="Courier New" w:cs="Courier New"/>
    </w:rPr>
  </w:style>
  <w:style w:type="character" w:styleId="WW8Num2z2">
    <w:name w:val="WW8Num2z2"/>
    <w:rPr>
      <w:rFonts w:ascii="Wingdings" w:hAnsi="Wingdings" w:cs="Wingdings"/>
    </w:rPr>
  </w:style>
  <w:style w:type="character" w:styleId="WW8Num2z3">
    <w:name w:val="WW8Num2z3"/>
    <w:rPr>
      <w:rFonts w:ascii="Symbol" w:hAnsi="Symbol" w:cs="Symbol"/>
    </w:rPr>
  </w:style>
  <w:style w:type="character" w:styleId="WW8Num3z0">
    <w:name w:val="WW8Num3z0"/>
    <w:rPr>
      <w:b/>
    </w:rPr>
  </w:style>
  <w:style w:type="character" w:styleId="WW8Num4z0">
    <w:name w:val="WW8Num4z0"/>
    <w:rPr>
      <w:b/>
    </w:rPr>
  </w:style>
  <w:style w:type="character" w:styleId="WW8Num5z0">
    <w:name w:val="WW8Num5z0"/>
    <w:rPr/>
  </w:style>
  <w:style w:type="character" w:styleId="WW8Num6z0">
    <w:name w:val="WW8Num6z0"/>
    <w:rPr>
      <w:rFonts w:ascii="Arial" w:hAnsi="Arial" w:eastAsia="Times New Roman" w:cs="Arial"/>
      <w:b/>
    </w:rPr>
  </w:style>
  <w:style w:type="character" w:styleId="WW8Num6z1">
    <w:name w:val="WW8Num6z1"/>
    <w:rPr>
      <w:rFonts w:ascii="Courier New" w:hAnsi="Courier New" w:cs="Courier New"/>
    </w:rPr>
  </w:style>
  <w:style w:type="character" w:styleId="WW8Num6z2">
    <w:name w:val="WW8Num6z2"/>
    <w:rPr>
      <w:rFonts w:ascii="Wingdings" w:hAnsi="Wingdings" w:cs="Wingdings"/>
    </w:rPr>
  </w:style>
  <w:style w:type="character" w:styleId="WW8Num6z3">
    <w:name w:val="WW8Num6z3"/>
    <w:rPr>
      <w:rFonts w:ascii="Symbol" w:hAnsi="Symbol" w:cs="Symbol"/>
    </w:rPr>
  </w:style>
  <w:style w:type="character" w:styleId="WW8Num7z0">
    <w:name w:val="WW8Num7z0"/>
    <w:rPr>
      <w:rFonts w:ascii="Arial" w:hAnsi="Arial" w:eastAsia="Times New Roman" w:cs="Arial"/>
      <w:b/>
    </w:rPr>
  </w:style>
  <w:style w:type="character" w:styleId="WW8Num9z0">
    <w:name w:val="WW8Num9z0"/>
    <w:rPr>
      <w:b/>
    </w:rPr>
  </w:style>
  <w:style w:type="character" w:styleId="WW8Num10z0">
    <w:name w:val="WW8Num10z0"/>
    <w:rPr>
      <w:b/>
    </w:rPr>
  </w:style>
  <w:style w:type="character" w:styleId="WW8Num10z1">
    <w:name w:val="WW8Num10z1"/>
    <w:rPr>
      <w:rFonts w:ascii="Courier New" w:hAnsi="Courier New" w:cs="Courier New"/>
    </w:rPr>
  </w:style>
  <w:style w:type="character" w:styleId="WW8Num10z2">
    <w:name w:val="WW8Num10z2"/>
    <w:rPr>
      <w:rFonts w:ascii="Wingdings" w:hAnsi="Wingdings" w:cs="Wingdings"/>
    </w:rPr>
  </w:style>
  <w:style w:type="character" w:styleId="WW8Num10z3">
    <w:name w:val="WW8Num10z3"/>
    <w:rPr>
      <w:rFonts w:ascii="Symbol" w:hAnsi="Symbol" w:cs="Symbol"/>
    </w:rPr>
  </w:style>
  <w:style w:type="character" w:styleId="WW8Num11z0">
    <w:name w:val="WW8Num11z0"/>
    <w:rPr>
      <w:b/>
    </w:rPr>
  </w:style>
  <w:style w:type="character" w:styleId="WW8Num12z0">
    <w:name w:val="WW8Num12z0"/>
    <w:rPr>
      <w:rFonts w:ascii="Arial" w:hAnsi="Arial" w:eastAsia="Times New Roman" w:cs="Arial"/>
    </w:rPr>
  </w:style>
  <w:style w:type="character" w:styleId="WW8Num12z1">
    <w:name w:val="WW8Num12z1"/>
    <w:rPr>
      <w:rFonts w:ascii="Courier New" w:hAnsi="Courier New" w:cs="Courier New"/>
    </w:rPr>
  </w:style>
  <w:style w:type="character" w:styleId="WW8Num12z2">
    <w:name w:val="WW8Num12z2"/>
    <w:rPr>
      <w:rFonts w:ascii="Wingdings" w:hAnsi="Wingdings" w:cs="Wingdings"/>
    </w:rPr>
  </w:style>
  <w:style w:type="character" w:styleId="WW8Num12z3">
    <w:name w:val="WW8Num12z3"/>
    <w:rPr>
      <w:rFonts w:ascii="Symbol" w:hAnsi="Symbol" w:cs="Symbol"/>
    </w:rPr>
  </w:style>
  <w:style w:type="character" w:styleId="WW8Num13z0">
    <w:name w:val="WW8Num13z0"/>
    <w:rPr>
      <w:rFonts w:ascii="Arial" w:hAnsi="Arial" w:eastAsia="Times New Roman" w:cs="Arial"/>
      <w:b/>
    </w:rPr>
  </w:style>
  <w:style w:type="character" w:styleId="WW8Num13z1">
    <w:name w:val="WW8Num13z1"/>
    <w:rPr>
      <w:rFonts w:ascii="Courier New" w:hAnsi="Courier New" w:cs="Courier New"/>
    </w:rPr>
  </w:style>
  <w:style w:type="character" w:styleId="WW8Num13z2">
    <w:name w:val="WW8Num13z2"/>
    <w:rPr>
      <w:rFonts w:ascii="Wingdings" w:hAnsi="Wingdings" w:cs="Wingdings"/>
    </w:rPr>
  </w:style>
  <w:style w:type="character" w:styleId="WW8Num13z3">
    <w:name w:val="WW8Num13z3"/>
    <w:rPr>
      <w:rFonts w:ascii="Symbol" w:hAnsi="Symbol" w:cs="Symbol"/>
    </w:rPr>
  </w:style>
  <w:style w:type="character" w:styleId="WW8Num14z0">
    <w:name w:val="WW8Num14z0"/>
    <w:rPr>
      <w:rFonts w:ascii="Arial" w:hAnsi="Arial" w:eastAsia="Times New Roman" w:cs="Arial"/>
      <w:b/>
    </w:rPr>
  </w:style>
  <w:style w:type="character" w:styleId="WW8Num14z1">
    <w:name w:val="WW8Num14z1"/>
    <w:rPr/>
  </w:style>
  <w:style w:type="character" w:styleId="WW8Num14z2">
    <w:name w:val="WW8Num14z2"/>
    <w:rPr>
      <w:rFonts w:ascii="Times New Roman" w:hAnsi="Times New Roman" w:eastAsia="Times New Roman" w:cs="Times New Roman"/>
      <w:b w:val="false"/>
    </w:rPr>
  </w:style>
  <w:style w:type="character" w:styleId="WW8Num14z3">
    <w:name w:val="WW8Num14z3"/>
    <w:rPr>
      <w:b/>
    </w:rPr>
  </w:style>
  <w:style w:type="character" w:styleId="WW8Num14z4">
    <w:name w:val="WW8Num14z4"/>
    <w:rPr>
      <w:rFonts w:ascii="Courier New" w:hAnsi="Courier New" w:cs="Courier New"/>
    </w:rPr>
  </w:style>
  <w:style w:type="character" w:styleId="WW8Num14z5">
    <w:name w:val="WW8Num14z5"/>
    <w:rPr>
      <w:rFonts w:ascii="Wingdings" w:hAnsi="Wingdings" w:cs="Wingdings"/>
    </w:rPr>
  </w:style>
  <w:style w:type="character" w:styleId="WW8Num14z6">
    <w:name w:val="WW8Num14z6"/>
    <w:rPr>
      <w:rFonts w:ascii="Symbol" w:hAnsi="Symbol" w:cs="Symbol"/>
    </w:rPr>
  </w:style>
  <w:style w:type="character" w:styleId="WW8Num15z0">
    <w:name w:val="WW8Num15z0"/>
    <w:rPr>
      <w:b/>
    </w:rPr>
  </w:style>
  <w:style w:type="character" w:styleId="WW8Num16z0">
    <w:name w:val="WW8Num16z0"/>
    <w:rPr>
      <w:b/>
    </w:rPr>
  </w:style>
  <w:style w:type="character" w:styleId="WW8Num17z0">
    <w:name w:val="WW8Num17z0"/>
    <w:rPr>
      <w:b/>
    </w:rPr>
  </w:style>
  <w:style w:type="character" w:styleId="WW8Num18z0">
    <w:name w:val="WW8Num18z0"/>
    <w:rPr>
      <w:rFonts w:ascii="Arial" w:hAnsi="Arial" w:eastAsia="Times New Roman" w:cs="Arial"/>
    </w:rPr>
  </w:style>
  <w:style w:type="character" w:styleId="WW8Num18z1">
    <w:name w:val="WW8Num18z1"/>
    <w:rPr>
      <w:rFonts w:ascii="Courier New" w:hAnsi="Courier New" w:cs="Courier New"/>
    </w:rPr>
  </w:style>
  <w:style w:type="character" w:styleId="WW8Num18z2">
    <w:name w:val="WW8Num18z2"/>
    <w:rPr>
      <w:rFonts w:ascii="Wingdings" w:hAnsi="Wingdings" w:cs="Wingdings"/>
    </w:rPr>
  </w:style>
  <w:style w:type="character" w:styleId="WW8Num18z3">
    <w:name w:val="WW8Num18z3"/>
    <w:rPr>
      <w:rFonts w:ascii="Symbol" w:hAnsi="Symbol" w:cs="Symbol"/>
    </w:rPr>
  </w:style>
  <w:style w:type="character" w:styleId="WW8Num19z0">
    <w:name w:val="WW8Num19z0"/>
    <w:rPr>
      <w:b/>
    </w:rPr>
  </w:style>
  <w:style w:type="character" w:styleId="WW8Num20z0">
    <w:name w:val="WW8Num20z0"/>
    <w:rPr>
      <w:b/>
    </w:rPr>
  </w:style>
  <w:style w:type="character" w:styleId="WW8Num21z0">
    <w:name w:val="WW8Num21z0"/>
    <w:rPr>
      <w:rFonts w:ascii="Arial" w:hAnsi="Arial" w:eastAsia="Times New Roman" w:cs="Arial"/>
      <w:b/>
    </w:rPr>
  </w:style>
  <w:style w:type="character" w:styleId="WW8Num22z0">
    <w:name w:val="WW8Num22z0"/>
    <w:rPr>
      <w:rFonts w:ascii="Symbol" w:hAnsi="Symbol" w:cs="Symbol"/>
    </w:rPr>
  </w:style>
  <w:style w:type="character" w:styleId="WW8Num22z1">
    <w:name w:val="WW8Num22z1"/>
    <w:rPr>
      <w:rFonts w:ascii="Courier New" w:hAnsi="Courier New" w:cs="Courier New"/>
    </w:rPr>
  </w:style>
  <w:style w:type="character" w:styleId="WW8Num22z2">
    <w:name w:val="WW8Num22z2"/>
    <w:rPr>
      <w:rFonts w:ascii="Wingdings" w:hAnsi="Wingdings" w:cs="Wingdings"/>
    </w:rPr>
  </w:style>
  <w:style w:type="character" w:styleId="WW8Num22z3">
    <w:name w:val="WW8Num22z3"/>
    <w:rPr>
      <w:rFonts w:ascii="Symbol" w:hAnsi="Symbol" w:cs="Symbol"/>
    </w:rPr>
  </w:style>
  <w:style w:type="character" w:styleId="WW8Num23z0">
    <w:name w:val="WW8Num23z0"/>
    <w:rPr>
      <w:rFonts w:ascii="Symbol" w:hAnsi="Symbol" w:cs="Symbol"/>
    </w:rPr>
  </w:style>
  <w:style w:type="character" w:styleId="WW8Num23z1">
    <w:name w:val="WW8Num23z1"/>
    <w:rPr>
      <w:rFonts w:ascii="Courier New" w:hAnsi="Courier New" w:cs="Courier New"/>
    </w:rPr>
  </w:style>
  <w:style w:type="character" w:styleId="WW8Num23z2">
    <w:name w:val="WW8Num23z2"/>
    <w:rPr>
      <w:rFonts w:ascii="Wingdings" w:hAnsi="Wingdings" w:cs="Wingdings"/>
    </w:rPr>
  </w:style>
  <w:style w:type="character" w:styleId="WW8Num23z3">
    <w:name w:val="WW8Num23z3"/>
    <w:rPr>
      <w:rFonts w:ascii="Symbol" w:hAnsi="Symbol" w:cs="Symbol"/>
    </w:rPr>
  </w:style>
  <w:style w:type="character" w:styleId="WW8Num24z0">
    <w:name w:val="WW8Num24z0"/>
    <w:rPr>
      <w:rFonts w:ascii="Arial" w:hAnsi="Arial" w:eastAsia="Times New Roman" w:cs="Arial"/>
      <w:b/>
    </w:rPr>
  </w:style>
  <w:style w:type="character" w:styleId="WW8Num25z0">
    <w:name w:val="WW8Num25z0"/>
    <w:rPr/>
  </w:style>
  <w:style w:type="character" w:styleId="WW8Num26z0">
    <w:name w:val="WW8Num26z0"/>
    <w:rPr>
      <w:rFonts w:ascii="Symbol" w:hAnsi="Symbol" w:cs="Symbol"/>
    </w:rPr>
  </w:style>
  <w:style w:type="character" w:styleId="WW8Num26z1">
    <w:name w:val="WW8Num26z1"/>
    <w:rPr>
      <w:rFonts w:ascii="Courier New" w:hAnsi="Courier New" w:cs="Courier New"/>
    </w:rPr>
  </w:style>
  <w:style w:type="character" w:styleId="WW8Num26z2">
    <w:name w:val="WW8Num26z2"/>
    <w:rPr>
      <w:rFonts w:ascii="Wingdings" w:hAnsi="Wingdings" w:cs="Wingdings"/>
    </w:rPr>
  </w:style>
  <w:style w:type="character" w:styleId="WW8Num26z3">
    <w:name w:val="WW8Num26z3"/>
    <w:rPr>
      <w:rFonts w:ascii="Symbol" w:hAnsi="Symbol" w:cs="Symbol"/>
    </w:rPr>
  </w:style>
  <w:style w:type="character" w:styleId="WW8Num27z0">
    <w:name w:val="WW8Num27z0"/>
    <w:rPr>
      <w:b/>
    </w:rPr>
  </w:style>
  <w:style w:type="character" w:styleId="WW8Num28z0">
    <w:name w:val="WW8Num28z0"/>
    <w:rPr>
      <w:rFonts w:ascii="Wingdings" w:hAnsi="Wingdings" w:cs="Wingdings"/>
      <w:sz w:val="16"/>
    </w:rPr>
  </w:style>
  <w:style w:type="character" w:styleId="WW8Num28z1">
    <w:name w:val="WW8Num28z1"/>
    <w:rPr>
      <w:rFonts w:ascii="Courier New" w:hAnsi="Courier New" w:cs="Courier New"/>
    </w:rPr>
  </w:style>
  <w:style w:type="character" w:styleId="WW8Num28z2">
    <w:name w:val="WW8Num28z2"/>
    <w:rPr>
      <w:rFonts w:ascii="Wingdings" w:hAnsi="Wingdings" w:cs="Wingdings"/>
    </w:rPr>
  </w:style>
  <w:style w:type="character" w:styleId="WW8Num28z3">
    <w:name w:val="WW8Num28z3"/>
    <w:rPr>
      <w:rFonts w:ascii="Symbol" w:hAnsi="Symbol" w:cs="Symbol"/>
    </w:rPr>
  </w:style>
  <w:style w:type="character" w:styleId="WW8NumSt2z0">
    <w:name w:val="WW8NumSt2z0"/>
    <w:rPr>
      <w:rFonts w:ascii="Times New Roman" w:hAnsi="Times New Roman" w:cs="Times New Roman"/>
    </w:rPr>
  </w:style>
  <w:style w:type="character" w:styleId="WW8NumSt3z0">
    <w:name w:val="WW8NumSt3z0"/>
    <w:rPr>
      <w:rFonts w:ascii="Times New Roman" w:hAnsi="Times New Roman" w:cs="Times New Roman"/>
    </w:rPr>
  </w:style>
  <w:style w:type="character" w:styleId="DefaultParagraphFont">
    <w:name w:val="Default Paragraph Font"/>
    <w:rPr/>
  </w:style>
  <w:style w:type="character" w:styleId="PageNumber">
    <w:name w:val="page number"/>
    <w:basedOn w:val="DefaultParagraphFont"/>
    <w:rPr/>
  </w:style>
  <w:style w:type="character" w:styleId="tpa1">
    <w:name w:val="tpa1"/>
    <w:basedOn w:val="DefaultParagraphFont"/>
    <w:rPr/>
  </w:style>
  <w:style w:type="character" w:styleId="HeaderChar">
    <w:name w:val="Header Char"/>
    <w:rPr>
      <w:lang w:bidi="ar-SA"/>
    </w:rPr>
  </w:style>
  <w:style w:type="character" w:styleId="tal1">
    <w:name w:val="tal1"/>
    <w:basedOn w:val="DefaultParagraphFont"/>
    <w:rPr/>
  </w:style>
  <w:style w:type="character" w:styleId="ArticleLabel">
    <w:name w:val="ArticleLabel"/>
    <w:rPr>
      <w:rFonts w:ascii="Arial" w:hAnsi="Arial"/>
      <w:b/>
      <w:sz w:val="20"/>
    </w:rPr>
  </w:style>
  <w:style w:type="character" w:styleId="FootnoteCharacters">
    <w:name w:val="Footnote Characters"/>
    <w:rPr/>
  </w:style>
  <w:style w:type="character" w:styleId="CaptionCharacters">
    <w:name w:val="Caption Characters"/>
    <w:rPr/>
  </w:style>
  <w:style w:type="character" w:styleId="DropCaps">
    <w:name w:val="Drop Caps"/>
    <w:rPr/>
  </w:style>
  <w:style w:type="character" w:styleId="NumberingSymbols">
    <w:name w:val="Numbering Symbols"/>
    <w:rPr/>
  </w:style>
  <w:style w:type="character" w:styleId="Bullets">
    <w:name w:val="Bullets"/>
    <w:rPr>
      <w:rFonts w:ascii="OpenSymbol" w:hAnsi="OpenSymbol" w:eastAsia="OpenSymbol" w:cs="OpenSymbol"/>
    </w:rPr>
  </w:style>
  <w:style w:type="character" w:styleId="Hyperlink">
    <w:name w:val="Hyperlink"/>
    <w:rPr>
      <w:u w:val="single"/>
    </w:rPr>
  </w:style>
  <w:style w:type="character" w:styleId="FollowedHyperlink">
    <w:name w:val="FollowedHyperlink"/>
    <w:rPr>
      <w:u w:val="single"/>
    </w:rPr>
  </w:style>
  <w:style w:type="character" w:styleId="Placeholder">
    <w:name w:val="Placeholder"/>
    <w:rPr>
      <w:smallCaps/>
      <w:u w:val="dotted"/>
    </w:rPr>
  </w:style>
  <w:style w:type="character" w:styleId="IndexLink">
    <w:name w:val="Index Link"/>
    <w:rPr/>
  </w:style>
  <w:style w:type="character" w:styleId="EndnoteCharacters">
    <w:name w:val="Endnote Characters"/>
    <w:rPr/>
  </w:style>
  <w:style w:type="character" w:styleId="LineNumber">
    <w:name w:val="line number"/>
    <w:rPr/>
  </w:style>
  <w:style w:type="character" w:styleId="MainIndexEntry">
    <w:name w:val="Main Index Entry"/>
    <w:rPr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Rubies">
    <w:name w:val="Rubies"/>
    <w:rPr>
      <w:sz w:val="12"/>
      <w:szCs w:val="12"/>
      <w:u w:val="none"/>
      <w:em w:val="none"/>
    </w:rPr>
  </w:style>
  <w:style w:type="character" w:styleId="VerticalNumberingSymbols">
    <w:name w:val="Vertical Numbering Symbols"/>
    <w:rPr>
      <w:eastAsianLayout w:vert="true"/>
    </w:rPr>
  </w:style>
  <w:style w:type="character" w:styleId="Emphasis">
    <w:name w:val="Emphasis"/>
    <w:rPr>
      <w:i/>
      <w:iCs/>
    </w:rPr>
  </w:style>
  <w:style w:type="character" w:styleId="Quotation">
    <w:name w:val="Quotation"/>
    <w:rPr>
      <w:i/>
      <w:iCs/>
    </w:rPr>
  </w:style>
  <w:style w:type="character" w:styleId="Strong">
    <w:name w:val="Strong"/>
    <w:rPr>
      <w:b/>
      <w:bCs/>
    </w:rPr>
  </w:style>
  <w:style w:type="character" w:styleId="SourceText">
    <w:name w:val="Source Text"/>
    <w:rPr>
      <w:rFonts w:ascii="Liberation Mono" w:hAnsi="Liberation Mono" w:eastAsia="Arial" w:cs="Liberation Mono"/>
    </w:rPr>
  </w:style>
  <w:style w:type="character" w:styleId="Example">
    <w:name w:val="Example"/>
    <w:rPr>
      <w:rFonts w:ascii="Liberation Mono" w:hAnsi="Liberation Mono" w:eastAsia="Arial" w:cs="Liberation Mono"/>
    </w:rPr>
  </w:style>
  <w:style w:type="character" w:styleId="UserEntry">
    <w:name w:val="User Entry"/>
    <w:rPr>
      <w:rFonts w:ascii="Liberation Mono" w:hAnsi="Liberation Mono" w:eastAsia="Arial" w:cs="Liberation Mono"/>
    </w:rPr>
  </w:style>
  <w:style w:type="character" w:styleId="Variable">
    <w:name w:val="Variable"/>
    <w:rPr>
      <w:i/>
      <w:iCs/>
    </w:rPr>
  </w:style>
  <w:style w:type="character" w:styleId="Definition">
    <w:name w:val="Definition"/>
    <w:rPr/>
  </w:style>
  <w:style w:type="character" w:styleId="Teletype">
    <w:name w:val="Teletype"/>
    <w:rPr>
      <w:rFonts w:ascii="Liberation Mono" w:hAnsi="Liberation Mono" w:eastAsia="Arial" w:cs="Liberation Mono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BodyText2">
    <w:name w:val="Body Text 2"/>
    <w:basedOn w:val="Normal"/>
    <w:pPr>
      <w:jc w:val="both"/>
    </w:pPr>
    <w:rPr>
      <w:rFonts w:ascii="Helvetica-Condensed-R;Arial Narrow" w:hAnsi="Helvetica-Condensed-R;Arial Narrow" w:cs="Helvetica-Condensed-R;Arial Narrow"/>
      <w:sz w:val="24"/>
    </w:rPr>
  </w:style>
  <w:style w:type="paragraph" w:styleId="HeaderandFooter">
    <w:name w:val="Header and Footer"/>
    <w:basedOn w:val="Normal"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TMLPreformatted">
    <w:name w:val="HTML Preformatted"/>
    <w:basedOn w:val="Normal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</w:rPr>
  </w:style>
  <w:style w:type="paragraph" w:styleId="BodyTextIndent2">
    <w:name w:val="Body Text Indent 2"/>
    <w:basedOn w:val="Normal"/>
    <w:pPr>
      <w:spacing w:lineRule="auto" w:line="480" w:before="0" w:after="120"/>
      <w:ind w:hanging="0" w:left="360" w:right="0"/>
    </w:pPr>
    <w:rPr/>
  </w:style>
  <w:style w:type="paragraph" w:styleId="ListParagraph">
    <w:name w:val="List Paragraph"/>
    <w:basedOn w:val="Normal"/>
    <w:pPr>
      <w:ind w:hanging="0" w:left="720" w:right="0"/>
    </w:pPr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9">
    <w:name w:val="WW8Num9"/>
  </w:style>
  <w:style w:type="numbering" w:styleId="WW8Num10">
    <w:name w:val="WW8Num10"/>
  </w:style>
  <w:style w:type="numbering" w:styleId="WW8Num11">
    <w:name w:val="WW8Num11"/>
  </w:style>
  <w:style w:type="numbering" w:styleId="WW8Num12">
    <w:name w:val="WW8Num12"/>
  </w:style>
  <w:style w:type="numbering" w:styleId="WW8Num13">
    <w:name w:val="WW8Num13"/>
  </w:style>
  <w:style w:type="numbering" w:styleId="WW8Num14">
    <w:name w:val="WW8Num14"/>
  </w:style>
  <w:style w:type="numbering" w:styleId="WW8Num15">
    <w:name w:val="WW8Num15"/>
  </w:style>
  <w:style w:type="numbering" w:styleId="WW8Num16">
    <w:name w:val="WW8Num16"/>
  </w:style>
  <w:style w:type="numbering" w:styleId="WW8Num17">
    <w:name w:val="WW8Num17"/>
  </w:style>
  <w:style w:type="numbering" w:styleId="WW8Num18">
    <w:name w:val="WW8Num18"/>
  </w:style>
  <w:style w:type="numbering" w:styleId="WW8Num19">
    <w:name w:val="WW8Num19"/>
  </w:style>
  <w:style w:type="numbering" w:styleId="WW8Num20">
    <w:name w:val="WW8Num20"/>
  </w:style>
  <w:style w:type="numbering" w:styleId="WW8Num21">
    <w:name w:val="WW8Num21"/>
  </w:style>
  <w:style w:type="numbering" w:styleId="WW8Num22">
    <w:name w:val="WW8Num22"/>
  </w:style>
  <w:style w:type="numbering" w:styleId="WW8Num23">
    <w:name w:val="WW8Num23"/>
  </w:style>
  <w:style w:type="numbering" w:styleId="WW8Num24">
    <w:name w:val="WW8Num24"/>
  </w:style>
  <w:style w:type="numbering" w:styleId="WW8Num25">
    <w:name w:val="WW8Num25"/>
  </w:style>
  <w:style w:type="numbering" w:styleId="WW8Num26">
    <w:name w:val="WW8Num26"/>
  </w:style>
  <w:style w:type="numbering" w:styleId="WW8Num27">
    <w:name w:val="WW8Num27"/>
  </w:style>
  <w:style w:type="numbering" w:styleId="WW8Num28">
    <w:name w:val="WW8Num28"/>
  </w:style>
  <w:style w:type="numbering" w:styleId="Articles">
    <w:name w:val="Articles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LibreOffice/26.8.0.3$Linux_AARCH64 LibreOffice_project/680$Build-3</Application>
  <AppVersion>15.0000</AppVersion>
  <Pages>3</Pages>
  <Words>927</Words>
  <Characters>6078</Characters>
  <CharactersWithSpaces>6861</CharactersWithSpaces>
  <Paragraphs>172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2024-03-04T10:29:00Z</dcterms:created>
  <dc:creator/>
  <dc:description/>
  <dc:language>ro-RO</dc:language>
  <cp:lastModifiedBy/>
  <cp:lastPrinted>2024-03-04T15:14:00Z</cp:lastPrinted>
  <dcterms:modified xsi:type="dcterms:W3CDTF">2026-10-10T18:47:21Z</dcterms:modified>
  <cp:revision>7</cp:revision>
  <dc:subject/>
  <dc:title/>
</cp:coreProperties>
</file>