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ANEXĂ LA REGULAMENTUL INTERN</w:t>
      </w:r>
    </w:p>
    <w:p>
      <w:pPr>
        <w:pStyle w:val="Normal"/>
        <w:keepNext w:val="false"/>
        <w:bidi w:val="0"/>
        <w:spacing w:before="0" w:after="24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privind semnarea electronică a fișelor de instruire</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Prezenta anexă la regulamentul intern al {{client.legalName}} stabilește modul de semnare electronică a fișelor de instruire, în temeiul art. 81 alin. (3¹)–(3³) din H.G. 1425/2006, al art. 16 alin. (1²), (1³) și (1⁶)–(1⁸) din Legea 53/2003 – Codul muncii, al art. 17 alin. (3) lit. o) din Legea 53/2003, al art. 4 din Legea 214/2024 privind utilizarea semnăturii electronice și al art. 26 din Regulamentul (UE) nr. 910/2014 (eIDAS).</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 semnează electronic fișele individuale de instruire în domeniul securității și sănătății în muncă (anexa nr. 11 la H.G. 1425/2006) și fișele individuale de instructaj în domeniul situațiilor de urgență (OMAI 712/2005), rând cu rând, pentru fiecare instruire consemnată, de lucrătorul instruit și de cel care a efectuat instruirea, iar pe fișa de securitate și sănătate în muncă și de cel care a verificat însușirea cunoștințelor; rubrica „Admis la lucru” a acestei fișe se semnează de cel care l-a admis la lucru. Alte documente se semnează electronic numai după ce sunt adăugate în prezenta anexă.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Fișele se semnează cu semnătură electronică avansată în sensul art. 26 din Regulamentul (UE) nr. 910/2014, fără certificat calificat, creată în platforma pusă la dispoziție de {{provider.legalName}}, serviciul extern de prevenire și protecție al angajatorului. Fiecare semnatar are o cheie de semnare proprie, cu un certificat emis de platformă pe numele său, păstrată criptat în platformă. Cheia se folosește numai după ce semnatarul introduce codul de unică folosință primit la adresa sa, astfel încât semnătura face trimitere exclusiv la semnatar, permite identificarea lui, este creată cu date pe care acesta le poate utiliza, cu un nivel ridicat de încredere, exclusiv sub controlul său și este legată de fișă astfel încât orice modificare ulterioară poate fi detectată.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Fiecare semnatar semnează din contul său personal, deschis pe adresa de e-mail sau pe numărul de telefon mobil comunicat angajatorului (ori serviciului extern de prevenire și protecție, pentru personalul acestuia). La fiecare semnare, platforma trimite acolo un cod de unică folosință, iar un cod semnează numai documentele afișate semnatarului în momentul în care l-a cerut. Se înregistrează numele și funcția semnatarului, momentul semnării, adresa de e-mail sau numărul de telefon la care s-a trimis codul, adresa IP și browserul folosite și amprenta digitală a fișei înainte și după semnare.</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Un rând semnat al fișei nu mai poate fi modificat: o greșeală se corectează prin anularea rândului, care rămâne pe fișă cu mențiunea „anulat”, și prin consemnarea instruirii pe rândul următor, care se semnează din nou.</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Fișa semnată electronic se păstrează de angajator, în format electronic, de la angajare până la data încetării raporturilor de muncă (art. 81 alin. (4) și (5) din H.G. 1425/2006). Angajatorul o poate descărca oricând din platformă, cu semnăturile verificabile, și o pune la dispoziția organelor de control în format electronic, fără a le fi solicitată și în format letric (art. 16 alin. (1⁸) din Legea 53/2003). Fișa se arhivează potrivit Legii 16/1996 și Legii 135/2007 (art. 16 alin. (1³) din Legea 53/2003).</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Semnarea electronică a fișelor salariatului se convine prin contractul individual de muncă sau printr-un act adițional la acesta (art. 81 alin. (3²) din H.G. 1425/2006), pe care salariatul nu poate fi obligat să îl semneze electronic (art. 16 alin. (1⁶) din Legea 53/2003). Salariatul care nu îl încheie semnează olograf fișa tipărită, iar cel care l-a încheiat poate reveni oricând la semnarea olografă, printr-o cerere scrisă.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Anexa se întocmește cu consultarea sindicatului sau a reprezentanților salariaților, după caz (art. 241 din Legea 53/2003), se aduce la cunoștința fiecărui salariat, pe hârtie sau în format electronic, se afișează la sediul angajatorului și produce efecte față de salariat de la luarea la cunoștință (art. 243 din Legea 53/2003).</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Angajator</w:t>
            </w:r>
          </w:p>
          <w:p>
            <w:pPr>
              <w:pStyle w:val="TableContents"/>
              <w:keepNext w:val="false"/>
              <w:bidi w:val="0"/>
              <w:spacing w:before="36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Întocmit</w:t>
            </w:r>
          </w:p>
          <w:p>
            <w:pPr>
              <w:pStyle w:val="TableContents"/>
              <w:keepNext w:val="false"/>
              <w:bidi w:val="0"/>
              <w:spacing w:before="36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{{specialist.name}}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{{specialist.professionalTitle}}</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Consultat: ________________________, reprezentant al salariaților / sindicat, data __________</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ages>1</Pages>
  <Words>170</Words>
  <Characters>1665</Characters>
  <CharactersWithSpaces>1760</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2026-10-18T13:13:52Z</dcterms:modified>
  <cp:revision>1</cp:revision>
  <dc:subject/>
  <dc:title/>
</cp:coreProperties>
</file>