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lineRule="auto" w:line="240"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REGISTRELE DE EVIDENȚĂ A EVENIMENTELOR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lineRule="auto" w:line="240" w:before="0" w:after="36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1. Registrul unic de evidență a accidentaților în muncă;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2. Registrul unic de evidență a incidentelor periculoase;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3. Registrul unic de evidență a accidentelor ușoare;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4. Registrul unic de evidență a accidentaților în muncă ce au ca urmare incapacitate de muncă mai mare de 3 zile de lucru.</w:t>
      </w:r>
    </w:p>
    <w:p>
      <w:pPr>
        <w:pStyle w:val="Normal"/>
        <w:keepNext w:val="true"/>
        <w:bidi w:val="0"/>
        <w:spacing w:lineRule="auto" w:line="240" w:before="147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PREDARE-PRIMIRE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2026-10-02T23:28:54Z</dcterms:modified>
  <cp:revision>1</cp:revision>
  <dc:subject/>
  <dc:title/>
</cp:coreProperties>
</file>