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media/image2.wmf" ContentType="image/x-wmf"/>
  <Override PartName="/word/media/image3.wmf" ContentType="image/x-wmf"/>
  <Override PartName="/word/media/image6.emf" ContentType="image/x-emf"/>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spacing w:before="0" w:after="240"/>
        <w:ind w:hanging="0"/>
        <w:jc w:val="center"/>
        <w:rPr>
          <w:rStyle w:val="tpt1"/>
          <w:rFonts w:ascii="Arial" w:hAnsi="Arial" w:cs="Arial"/>
          <w:b/>
          <w:lang w:val="it-IT"/>
        </w:rPr>
      </w:pPr>
      <w:r>
        <w:rPr>
          <w:rStyle w:val="tpt1"/>
          <w:rFonts w:eastAsia="Arial" w:cs="Arial" w:ascii="Arial" w:hAnsi="Arial"/>
          <w:b/>
          <w:color w:val="auto"/>
          <w:spacing w:val="0"/>
          <w:w w:val="100"/>
          <w:sz w:val="24"/>
          <w:szCs w:val="20"/>
          <w:lang w:val="ro-RO"/>
        </w:rPr>
        <w:t>MATERIAL DE INFORMARE A ANGAJATORULUI CU PRIVIRE LA PREVEDERILE LEGISLATIVE DIN DOMENIUL SECURITĂȚII ȘI SĂNĂTĂȚII ÎN MUNCĂ PENTRU {{client.legalName}}</w:t>
      </w:r>
    </w:p>
    <w:tbl>
      <w:tblPr>
        <w:tblW w:w="5000" w:type="pct"/>
        <w:jc w:val="left"/>
        <w:tblInd w:w="55" w:type="dxa"/>
        <w:tblLayout w:type="fixed"/>
        <w:tblCellMar>
          <w:top w:w="55" w:type="dxa"/>
          <w:left w:w="55" w:type="dxa"/>
          <w:bottom w:w="55" w:type="dxa"/>
          <w:right w:w="55" w:type="dxa"/>
        </w:tblCellMar>
      </w:tblPr>
      <w:tblGrid>
        <w:gridCol w:w="4677"/>
        <w:gridCol w:w="4678"/>
      </w:tblGrid>
      <w:tr>
        <w:trPr>
          <w:cantSplit/>
        </w:trPr>
        <w:tc>
          <w:tcPr>
            <w:tcW w:w="4677"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întocmit și predat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informat angajatorul</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{{provider.representativeName}}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{{provider.representativeRole}} al {{provider.legalName}}</w:t>
            </w:r>
          </w:p>
        </w:tc>
        <w:tc>
          <w:tcPr>
            <w:tcW w:w="4678"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primit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luat la cunoștință</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{{client.representativeName}}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{{client.representativeRole}} al {{client.legalName}}</w:t>
            </w:r>
          </w:p>
        </w:tc>
      </w:tr>
      <w:tr>
        <w:trPr>
          <w:cantSplit/>
        </w:trPr>
        <w:tc>
          <w:tcPr>
            <w:tcW w:w="4677" w:type="dxa"/>
            <w:tcBorders/>
          </w:tcPr>
          <w:p>
            <w:pPr>
              <w:pStyle w:val="TableContents"/>
              <w:keepNext w:val="false"/>
              <w:spacing w:before="240" w:after="0"/>
              <w:ind w:hanging="0" w:left="0"/>
              <w:jc w:val="center"/>
              <w:rPr>
                <w:rFonts w:ascii="Arial" w:hAnsi="Arial" w:eastAsia="Arial" w:cs="Arial"/>
                <w:b w:val="false"/>
                <w:i w:val="false"/>
                <w:color w:val="auto"/>
                <w:sz w:val="20"/>
                <w:lang w:val="ro-RO"/>
              </w:rPr>
            </w:pPr>
            <w:r>
              <w:rPr>
                <w:rFonts w:eastAsia="Arial" w:cs="Arial" w:ascii="Arial" w:hAnsi="Arial"/>
                <w:color w:val="auto"/>
                <w:spacing w:val="0"/>
                <w:w w:val="100"/>
                <w:sz w:val="20"/>
                <w:szCs w:val="20"/>
                <w:lang w:val="ro-RO"/>
              </w:rPr>
              <w:t>Data: ____________________</w:t>
            </w:r>
          </w:p>
        </w:tc>
        <w:tc>
          <w:tcPr>
            <w:tcW w:w="4678" w:type="dxa"/>
            <w:tcBorders/>
          </w:tcPr>
          <w:p>
            <w:pPr>
              <w:pStyle w:val="TableContents"/>
              <w:keepNext w:val="false"/>
              <w:spacing w:before="240" w:after="0"/>
              <w:ind w:hanging="0" w:left="0"/>
              <w:jc w:val="center"/>
              <w:rPr>
                <w:rFonts w:ascii="Arial" w:hAnsi="Arial" w:eastAsia="Arial" w:cs="Arial"/>
                <w:b w:val="false"/>
                <w:i w:val="false"/>
                <w:color w:val="auto"/>
                <w:sz w:val="20"/>
                <w:lang w:val="ro-RO"/>
              </w:rPr>
            </w:pPr>
            <w:r>
              <w:rPr>
                <w:rFonts w:eastAsia="Arial" w:cs="Arial" w:ascii="Arial" w:hAnsi="Arial"/>
                <w:color w:val="auto"/>
                <w:spacing w:val="0"/>
                <w:w w:val="100"/>
                <w:sz w:val="20"/>
                <w:szCs w:val="20"/>
                <w:lang w:val="ro-RO"/>
              </w:rPr>
              <w:t>Data: ____________________</w:t>
            </w:r>
          </w:p>
        </w:tc>
      </w:tr>
    </w:tbl>
    <w:p>
      <w:pPr>
        <w:pStyle w:val="Normal"/>
        <w:keepNext w:val="true"/>
        <w:widowControl/>
        <w:numPr>
          <w:ilvl w:val="0"/>
          <w:numId w:val="9"/>
        </w:numPr>
        <w:spacing w:before="120" w:after="120"/>
        <w:jc w:val="left"/>
        <w:rPr>
          <w:rFonts w:ascii="Arial" w:hAnsi="Arial" w:cs="Arial"/>
          <w:sz w:val="18"/>
          <w:szCs w:val="18"/>
          <w:lang w:val="de-DE"/>
        </w:rPr>
      </w:pPr>
      <w:r>
        <w:rPr>
          <w:rFonts w:eastAsia="Arial" w:cs="Arial" w:ascii="Arial" w:hAnsi="Arial"/>
          <w:color w:val="auto"/>
          <w:spacing w:val="0"/>
          <w:w w:val="100"/>
          <w:sz w:val="20"/>
          <w:szCs w:val="20"/>
          <w:lang w:val="ro-RO"/>
        </w:rPr>
        <w:t>Odată cu prezentul material informativ, s-au predat și următoarele documente:</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Decizia / Dispoziția privind responsabilii cu instruirea în domeniul securității și sănătății în muncă</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Decizia / Dispoziția de constituire a echipei de evaluare a riscurilor de accidentare și/ sau îmbolnăvire profesională</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Decizia / Dispoziția privind responsabilii cu acordarea primului ajutor</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Decizia / Dispoziția privind personalul desemnat cu luarea măsurilor în caz de pericol grav și iminent</w:t>
      </w:r>
    </w:p>
    <w:p>
      <w:pPr>
        <w:pStyle w:val="Normal"/>
        <w:widowControl/>
        <w:spacing w:before="0" w:after="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{{#workersRepresentativeDecision}}</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Decizia / Dispoziția privind desemnarea reprezentanților lucrătorilor cu răspunderi specifice în domeniul securității și sănătății în muncă</w:t>
      </w:r>
    </w:p>
    <w:p>
      <w:pPr>
        <w:pStyle w:val="Normal"/>
        <w:widowControl/>
        <w:spacing w:before="0" w:after="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{{/workersRepresentativeDecision}}</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Registre de evidență a evenimentelor</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Material de instruire în domeniul securității și sănătății în muncă pentru instruirea introductiv – generală (cod MISSMIG)</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Instrucțiuni proprii în domeniul securității și sănătății în muncă (cod IPSSM)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Tematicile pentru toate fazele de instruire și programul de instruire – testare la nivelul unității, conform cu periodicitatea adecvat stabilită pentru fiecare loc de muncă / post de lucru (cod TISSM)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Test angajare în domeniul securității și sănătății în muncă (cod TASSM)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Test periodic în domeniul securității și sănătății în muncă (cod TPSSM)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Lista internă cu necesarul de dotare cu echipament individual de protecție (E.I.P.) a lucrătorilor (cod LN E.I.P.)</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Document justificativ de control, privind verificarea tematică la locurile de muncă, informare deficiențe constatate și propuneri de măsuri de prevenire și protecție (cod RSSM)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Regulament intern privind controlul propriu privind respectarea prevederilor legale, a dispozițiilor, instrucțiunilor și reglementărilor interne în domeniul securității și sănătății în muncă (cod R.I.C.P. 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Evaluarea riscurilor de accidentare și îmbolnăvire profesională pentru locurile de muncă (Descrierea metodei elaborate de I.N.C.D.P.M. București, utilizată de evaluator) (cod EVR)</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Planul de prevenire și protecție întocmit în baza evaluării riscurilor (cod PPP)</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Cuprins material informativ</w:t>
      </w:r>
      <w:r>
        <w:rPr>
          <w:rStyle w:val="tpt1"/>
          <w:rFonts w:eastAsia="Arial" w:cs="Arial" w:ascii="Arial" w:hAnsi="Arial"/>
          <w:b/>
          <w:color w:val="auto"/>
          <w:spacing w:val="0"/>
          <w:w w:val="100"/>
          <w:sz w:val="20"/>
          <w:szCs w:val="20"/>
          <w:lang w:val="ro-RO"/>
        </w:rPr>
        <w:t xml:space="preserve"> – {{client.legalName}}</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 xml:space="preserve">Capitolul I. Prevederi generale pentru angajator conform Legii 319/ 2006</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II. Obligațiile angajatorului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III. Obligațiile și drepturile angajaților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IV. Organizarea activităților de prevenire și protecție</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 Organizarea activităților de prevenire și protecție pentru întreprinderile cu până la 9 lucrători inclusiv</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IV.II. Organizarea activităților de prevenire și protecție pentru întreprinderile care au între 10 și 49 de lucrători inclusiv</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IV.III. Organizarea activităților de prevenire și protecție pentru întreprinderile care au între 50 și 249 de lucrători inclusiv</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IV.IV. Organizarea activităților de prevenire și protecție în cazul întreprinderilor și/ sau unităților care au peste 250 de lucrători</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 Desemnarea lucrătorilor pentru activitățile de prevenire și protecție</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IV.VI. Lucrătorii desemnați</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IV.VII. Servicii externe de prevenire și protecție</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IV.VIII. Reprezentanții lucrătorilor cu răspunderi specifice</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V. Informații privind instruirea lucrătorilor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VI. Informații cu privire la comitetul de securitate și sănătate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 xml:space="preserve">Capitolul VII. Comunicarea, cercetarea, înregistrarea și raportarea evenimentelor, accidentelor de muncă și bolilor profesionale</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VIII. Evaluarea riscurilor de accidentare și/ sau îmbolnăvire profesională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IX. Informații privind necesarul, întocmirea și implementarea necesarului de documentații cu caracter tehnic de informare și instruire a lucrătorilor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X. Informații privind întocmirea fișei postului</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XI. Informații privind întocmirea regulamentului intern</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Capitolul I. Prevederi generale pentru angajator conform Legii 319/ 2006</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(Legea 319/ 2006, Art. 6, alin. 1, 2, 3)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de a asigura securitatea și sănătatea lucrătorilor în toate aspectele legate de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un angajator apelează la servicii externe, acesta nu este exonerat de responsabilitățile sale în acest domeniu.</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Obligațiile lucrătorilor în domeniul securității și sănătății în muncă nu aduc atingere principiului responsabilității angajatorului.</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(Legea 319/ 2006, Art. 7, alin. 3) Angajatorul are obligația să implementeze măsurile prevăzute de Legea 319/ 2006 pe baza următoarelor principii generale de prevenire:</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evitarea riscurilor;</w:t>
      </w:r>
    </w:p>
    <w:p>
      <w:pPr>
        <w:pStyle w:val="Normal"/>
        <w:widowControl/>
        <w:numPr>
          <w:ilvl w:val="2"/>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evaluarea riscurilor care nu pot fi evitate;</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combaterea riscurilor la sursă;</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muncii la om, în special în ceea ce privește proiectarea posturilor de muncă, alegerea echipamentelor de muncă, a metodelor de muncă și de producție, în vederea reducerii monotoniei muncii, a muncii cu ritm predeterminat și a diminuării efectelor acestora asupra sănătății;</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la progresul tehnic;</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dezvoltarea unei politici de prevenire coerente care să cuprindă tehnologiile, organizarea muncii, condițiile de muncă, relațiile sociale și influența factorilor din mediul de muncă;</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adoptarea, în mod prioritar, a măsurilor de protecție colectivă față de măsurile de protecție individuală;</w:t>
      </w:r>
    </w:p>
    <w:p>
      <w:pPr>
        <w:pStyle w:val="Normal"/>
        <w:widowControl/>
        <w:numPr>
          <w:ilvl w:val="2"/>
          <w:numId w:val="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furnizarea de instrucțiuni corespunzătoare lucrătorilor.</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(Legea 319/ 2006, Art. 7, alin. 5) Fără a aduce atingere altor prevederi ale prezentei legi, atunci când în același loc de muncă își desfășoară activitatea lucrători din mai multe întreprinderi și/sau unități, angajatorii acestora au următoarele obligații:</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în vederea implementării prevederilor privind securitatea, sănătatea și igiena în muncă, luând în considerare natura activităților;</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își coordoneze acțiunile în vederea protecției lucrătorilor și prevenirii riscurilor profesionale, luând în considerare natura activităților;</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se informeze reciproc despre riscurile profesionale;</w:t>
      </w:r>
    </w:p>
    <w:p>
      <w:pPr>
        <w:pStyle w:val="Normal"/>
        <w:widowControl/>
        <w:numPr>
          <w:ilvl w:val="2"/>
          <w:numId w:val="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informeze lucrătorii și/sau reprezentanții acestora despre riscurile profesionale.</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(Legea 319/ 2006, Art. 7, alin. 6) Măsurile privind securitatea, sănătatea și igiena în muncă nu trebuie să comporte în nicio situație obligații financiare pentru lucrători.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 Obligațiile angajatorului în domeniul securității și sănătății în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7)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În cadrul responsabilităților sale, angajatorul are obligația să ia măsurile necesare pentru:</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asigurarea securității și protecția sănătății lucrătorilor;</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prevenirea riscurilor profesionale;</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informarea și instruirea lucrătorilor;</w:t>
      </w:r>
    </w:p>
    <w:p>
      <w:pPr>
        <w:pStyle w:val="Normal"/>
        <w:widowControl/>
        <w:numPr>
          <w:ilvl w:val="2"/>
          <w:numId w:val="2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asigurarea cadrului organizatoric și a mijloacelor necesare securității și sănătății în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are obligația să urmărească adaptarea măsurilor prevăzute la alin. (1), ținând seama de modificarea condițiilor, și pentru îmbunătățirea situațiilor existente.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are obligația să implementeze măsurile prevăzute la alin. (1) și (2) pe baza următoarelor principii generale de prevenire:</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evitarea riscurilor;</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evaluarea riscurilor care nu pot fi evitate;</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combaterea riscurilor la sursă;</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adaptarea muncii la om, în special în ceea ce privește proiectarea posturilor de muncă, alegerea echipamentelor de muncă, a metodelor de muncă și de producție, în vederea reducerii monotoniei muncii, a muncii cu ritm predeterminat și a diminuării efectelor acestora asupra sănătății;</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adaptarea la progresul tehnic;</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0"/>
          <w:numId w:val="49"/>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dezvoltarea unei politici de prevenire coerente care să cuprindă tehnologiile, organizarea muncii, condițiile de muncă, relațiile sociale și influența factorilor din mediul de muncă;</w:t>
      </w:r>
    </w:p>
    <w:p>
      <w:pPr>
        <w:pStyle w:val="Normal"/>
        <w:widowControl/>
        <w:numPr>
          <w:ilvl w:val="0"/>
          <w:numId w:val="49"/>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adoptarea, în mod prioritar, a măsurilor de protecție colectivă față de măsurile de protecție individuală;</w:t>
      </w:r>
    </w:p>
    <w:p>
      <w:pPr>
        <w:pStyle w:val="Normal"/>
        <w:widowControl/>
        <w:numPr>
          <w:ilvl w:val="0"/>
          <w:numId w:val="49"/>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furnizarea de instrucțiuni corespunzătoare lucrătorilor.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Fără a aduce atingere altor prevederi ale Legii 319/ 2006, ținând seama de natura activităților din întreprindere și/ sau unitate, angajatorul are obligația:</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evalueze riscurile pentru securitatea și sănătatea lucrătorilor, inclusiv la alegerea echipamentelor de muncă, a substanțelor sau preparatelor chimice utilizate și la amenajarea locurilor de muncă;</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ca, ulterior evaluării prevăzute la lit. a) și dacă este necesar, măsurile de prevenire, precum și metodele de lucru și de producție aplicate de către angajator să asigure îmbunătățirea nivelului securității și al protecției sănătății lucrătorilor și să fie integrate în ansamblul activităților întreprinderii și/ sau unității respective și la toate nivelurile ierarhice;</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ia în considerare capacitățile lucrătorului în ceea ce privește securitatea și sănătatea în muncă, atunci când îi încredințează sarcini;</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ca planificarea și introducerea de noi tehnologii să facă obiectul consultărilor cu lucrătorii și/ sau reprezentanții acestora în ceea ce privește consecințele asupra securității și sănătății lucrătorilor, determinate de alegerea echipamentelor, de condițiile și mediul de muncă;</w:t>
      </w:r>
    </w:p>
    <w:p>
      <w:pPr>
        <w:pStyle w:val="Normal"/>
        <w:widowControl/>
        <w:numPr>
          <w:ilvl w:val="0"/>
          <w:numId w:val="6"/>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ia măsurile corespunzătoare pentru ca, în zonele cu risc ridicat și specific, accesul să fie permis numai lucrătorilor care au primit și și-au însușit instrucțiunile adecvate.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Fără a aduce atingere altor prevederi ale prezentei legi, atunci când în același loc de muncă își desfășoară activitatea lucrători din mai multe întreprinderi și/ sau unități, angajatorii acestora au următoarele obligații:</w:t>
      </w:r>
    </w:p>
    <w:p>
      <w:pPr>
        <w:pStyle w:val="Normal"/>
        <w:widowControl/>
        <w:numPr>
          <w:ilvl w:val="0"/>
          <w:numId w:val="14"/>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în vederea implementării prevederilor privind securitatea, sănătatea și igiena în muncă, luând în considerare natura activităților;</w:t>
      </w:r>
    </w:p>
    <w:p>
      <w:pPr>
        <w:pStyle w:val="Normal"/>
        <w:widowControl/>
        <w:numPr>
          <w:ilvl w:val="0"/>
          <w:numId w:val="14"/>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își coordoneze acțiunile în vederea protecției lucrătorilor și prevenirii riscurilor profesionale, luând în considerare natura activităților;</w:t>
      </w:r>
    </w:p>
    <w:p>
      <w:pPr>
        <w:pStyle w:val="Normal"/>
        <w:widowControl/>
        <w:numPr>
          <w:ilvl w:val="0"/>
          <w:numId w:val="14"/>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se informeze reciproc despre riscurile profesionale;</w:t>
      </w:r>
    </w:p>
    <w:p>
      <w:pPr>
        <w:pStyle w:val="Normal"/>
        <w:widowControl/>
        <w:numPr>
          <w:ilvl w:val="0"/>
          <w:numId w:val="14"/>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să informeze lucrătorii și/ sau reprezentanții acestora despre riscurile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Măsurile privind securitatea, sănătatea și igiena în muncă nu trebuie să comporte în nicio situație obligații financiare pentru lucrători.</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11)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Angajatorul are următoarele obligații:</w:t>
      </w:r>
    </w:p>
    <w:p>
      <w:pPr>
        <w:pStyle w:val="Normal"/>
        <w:widowControl/>
        <w:numPr>
          <w:ilvl w:val="0"/>
          <w:numId w:val="11"/>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informeze, cât mai curând posibil, toți lucrătorii care sunt sau pot fi expuși unui pericol grav și iminent despre riscurile implicate de acest pericol, precum și despre măsurile luate ori care trebuie să fie luate pentru protecția lor;</w:t>
      </w:r>
    </w:p>
    <w:p>
      <w:pPr>
        <w:pStyle w:val="Normal"/>
        <w:widowControl/>
        <w:numPr>
          <w:ilvl w:val="0"/>
          <w:numId w:val="11"/>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ia măsuri și să furnizeze instrucțiuni pentru a da lucrătorilor posibilitatea să oprească lucrul și/sau să părăsească imediat locul de muncă și să se îndrepte spre o zonă sigură, în caz de pericol grav și iminent;</w:t>
      </w:r>
    </w:p>
    <w:p>
      <w:pPr>
        <w:pStyle w:val="Normal"/>
        <w:widowControl/>
        <w:numPr>
          <w:ilvl w:val="0"/>
          <w:numId w:val="11"/>
        </w:numPr>
        <w:spacing w:before="0" w:after="120"/>
        <w:ind w:right="0"/>
        <w:jc w:val="left"/>
        <w:rPr>
          <w:rFonts w:ascii="Arial" w:hAnsi="Arial" w:cs="Arial"/>
          <w:sz w:val="18"/>
          <w:szCs w:val="18"/>
          <w:lang w:val="de-DE"/>
        </w:rPr>
      </w:pPr>
      <w:r>
        <w:rPr>
          <w:rFonts w:eastAsia="Arial" w:cs="Arial" w:ascii="Arial" w:hAnsi="Arial"/>
          <w:color w:val="auto"/>
          <w:spacing w:val="0"/>
          <w:w w:val="100"/>
          <w:sz w:val="20"/>
          <w:szCs w:val="20"/>
          <w:lang w:val="ro-RO"/>
        </w:rPr>
        <w:t>să nu impună lucrătorilor reluarea lucrului în situația în care încă există un pericol grav și iminent, în afara cazurilor excepționale și pentru motive justificate.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Lucrătorii care, în cazul unui pericol grav și iminent, părăsesc locul de muncă și/ sau o zonă periculoasă nu trebuie să fie prejudiciați și trebuie să fie protejați împotriva oricăror consecințe negative și nejustificate pentru aceștia.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trebuie să se asigure că, în cazul unui pericol grav și iminent pentru propria securitate sau a altor persoane, atunci când șeful ierarhic imediat superior nu poate fi contactat, toți lucrătorii sunt apți să aplice măsurile corespunzătoare, în conformitate cu cunoștințele lor și cu mijloacele tehnice de care dispun, pentru a evita consecințele unui astfel de pericol.</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Lucrătorii nu trebuie să fie prejudiciați pentru cazurile prevăzute la alin. (3) de mai sus, cu excepția situațiilor în care aceștia acționează imprudent sau dau dovadă de neglijență gravă.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12)</w:t>
      </w:r>
      <w:r>
        <w:rPr>
          <w:rFonts w:eastAsia="Arial" w:cs="Arial" w:ascii="Arial" w:hAnsi="Arial"/>
          <w:color w:val="auto"/>
          <w:spacing w:val="0"/>
          <w:w w:val="100"/>
          <w:sz w:val="20"/>
          <w:szCs w:val="20"/>
          <w:lang w:val="ro-RO"/>
        </w:rPr>
        <w:t xml:space="preserve"> Alte obligații ale angajatorului:</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realizeze și să fie în posesia unei evaluări a riscurilor pentru securitatea și sănătatea în muncă, inclusiv pentru acele grupuri sensibile la riscuri specifice;</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decidă asupra măsurilor de protecție care trebuie luate și, după caz, asupra echipamentului de protecție care trebuie utilizat;</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r>
        <w:rPr>
          <w:rFonts w:eastAsia="Arial" w:cs="Arial" w:ascii="Arial" w:hAnsi="Arial"/>
          <w:color w:val="auto"/>
          <w:spacing w:val="0"/>
          <w:w w:val="100"/>
          <w:sz w:val="20"/>
          <w:szCs w:val="20"/>
          <w:lang w:val="ro-RO"/>
        </w:rPr>
        <w:t>;</w:t>
      </w:r>
    </w:p>
    <w:p>
      <w:pPr>
        <w:pStyle w:val="Normal"/>
        <w:widowControl/>
        <w:numPr>
          <w:ilvl w:val="0"/>
          <w:numId w:val="26"/>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13)</w:t>
      </w:r>
      <w:r>
        <w:rPr>
          <w:rFonts w:eastAsia="Arial" w:cs="Arial" w:ascii="Arial" w:hAnsi="Arial"/>
          <w:color w:val="auto"/>
          <w:spacing w:val="0"/>
          <w:w w:val="100"/>
          <w:sz w:val="20"/>
          <w:szCs w:val="20"/>
          <w:lang w:val="ro-RO"/>
        </w:rPr>
        <w:t xml:space="preserve"> În vederea asigurării condițiilor de securitate și sănătate în muncă și pentru prevenirea accidentelor de muncă și a bolilor profesionale, angajatorii au următoarele obligații:</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adopte, din faza de cercetare, proiectare și execuție a construcțiilor, a echipamentelor de muncă, precum și de elaborare a tehnologiilor de fabricație, soluții conforme prevederilor legale în vigoare privind securitatea și sănătatea în muncă, prin a căror aplicare să fie eliminate sau diminuate riscurile de accidentare și de îmbolnăvire profesională a lucrătorilor;</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întocmească un plan de prevenire și protecție compus din măsuri tehnice, sanitare, organizatorice și de altă natură, bazat pe evaluarea riscurilor, pe care să îl aplice corespunzător condițiilor de muncă specifice unității;</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obțină autorizația de funcționare din punctul de vedere al securității și sănătății în muncă, înainte de începerea oricărei activități, conform prevederilor legale;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stabilească pentru lucrători, prin fișa postului, atribuțiile și răspunderile ce le revin în domeniul securității și sănătății în muncă, corespunzător funcțiilor exercitate;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elaboreze instrucțiuni proprii, în spiritul prezentei legi, pentru completarea și/ sau aplicarea reglementărilor de securitate și sănătate în muncă, ținând seama de particularitățile activităților și ale locurilor de muncă aflate în responsabilitatea lor;</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asigure și să controleze cunoașterea și aplicarea de către toți lucrătorii a măsurilor prevăzute în planul de prevenire și de protecție stabilit, precum și a prevederilor legale în domeniul securității și sănătății în muncă, prin lucrătorii desemnați, prin propria competență sau prin servicii externe;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ia măsuri pentru asigurarea de materiale necesare informării și instruirii lucrătorilor, cum ar fi afișe, pliante, filme și diafilme cu privire la securitatea și sănătatea în muncă;</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asigure informarea fiecărei persoane, anterior angajării în muncă, asupra riscurilor la care aceasta este expusă la locul de muncă, precum și asupra măsurilor de prevenire și de protecție necesare;</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ia măsuri pentru autorizarea exercitării meseriilor și a profesiilor prevăzute de legislația specifică;</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angajeze numai persoane care, în urma examenului medical și, după caz, a testării psihologice a aptitudinilor, corespund sarcinii de muncă pe care urmează să o execute și să asigure controlul medical periodic și, după caz, controlul psihologic periodic, ulterior angajării;</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țină evidența zonelor cu risc ridicat și specific prevăzute la art. 7, alin. (4), lit. e) din Legea 319/ 2006;</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funcționarea permanentă și corectă a sistemelor și dispozitivelor de protecție, a aparaturii de măsură și control, precum și a instalațiilor de captare, reținere și neutralizare a substanțelor nocive degajate în desfășurarea proceselor tehnologice;</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inspectorii de muncă în timpul controlului sau al efectuării cercetării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realizarea măsurilor dispuse de inspectorii de muncă cu prilejul vizitelor de control și al cercetării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desemneze, la solicitarea inspectorului de muncă, lucrătorii care să participe la efectuarea controlului sau la cercetarea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nu modifice starea de fapt rezultată din producerea unui accident mortal sau colectiv, în afară de cazurile în care menținerea acestei stări ar genera alte accidente ori ar periclita viața accidentaților și a altor persoane;</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de muncă fără pericol pentru securitatea și sănătatea lucrătorilor;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individuale de protecție;</w:t>
      </w:r>
    </w:p>
    <w:p>
      <w:pPr>
        <w:pStyle w:val="Normal"/>
        <w:widowControl/>
        <w:numPr>
          <w:ilvl w:val="0"/>
          <w:numId w:val="8"/>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acorde obligatoriu echipament individual de protecție nou, în cazul degradării sau al pierderii calităților de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14)</w:t>
      </w:r>
      <w:r>
        <w:rPr>
          <w:rFonts w:eastAsia="Arial" w:cs="Arial" w:ascii="Arial" w:hAnsi="Arial"/>
          <w:color w:val="auto"/>
          <w:spacing w:val="0"/>
          <w:w w:val="100"/>
          <w:sz w:val="20"/>
          <w:szCs w:val="20"/>
          <w:lang w:val="ro-RO"/>
        </w:rPr>
        <w:t xml:space="preserve"> Alimentația de protecție se acordă în mod obligatoriu și gratuit de către angajatori persoanelor care lucrează în condiții de muncă ce impun acest lucru și se stabilește prin contractul colectiv de muncă și/ sau contractul individual de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15)</w:t>
      </w:r>
      <w:r>
        <w:rPr>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Activitățile de prevenire și protecție în cadrul întreprinderii și/ sau al unității sunt următoarele:</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de instrucțiuni proprii pentru completarea și/ sau aplicarea reglementărilor de securitate și sănătate în muncă, ținând seama de particularitățile activităților și ale unității/întreprinderii,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întocmirea unui necesar de documentații cu caracter tehnic de informare și instruire a lucrătorilor în domeniul securității și sănătății în muncă;</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elaborarea programului de instruire-testare la nivelul unității;</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asigurarea întocmirii planului de acțiune în caz de pericol grav și iminent, și asigurarea ca toți lucrătorii să fie instruiți pentru aplicarea lui;</w:t>
      </w:r>
    </w:p>
    <w:p>
      <w:pPr>
        <w:pStyle w:val="Normal"/>
        <w:widowControl/>
        <w:numPr>
          <w:ilvl w:val="3"/>
          <w:numId w:val="21"/>
        </w:numPr>
        <w:spacing w:before="0" w:after="40"/>
        <w:jc w:val="left"/>
        <w:rPr>
          <w:rFonts w:ascii="Arial" w:hAnsi="Arial" w:cs="Arial"/>
          <w:sz w:val="18"/>
          <w:szCs w:val="18"/>
          <w:lang w:val="it-CH"/>
        </w:rPr>
      </w:pPr>
      <w:r>
        <w:rPr>
          <w:rStyle w:val="tpt1"/>
          <w:rFonts w:eastAsia="Arial" w:cs="Arial" w:ascii="Arial" w:hAnsi="Arial"/>
          <w:color w:val="auto"/>
          <w:spacing w:val="0"/>
          <w:w w:val="100"/>
          <w:sz w:val="20"/>
          <w:szCs w:val="20"/>
          <w:lang w:val="ro-RO"/>
        </w:rPr>
        <w:t>evidența zonelor cu risc ridicat și specific;</w:t>
      </w:r>
    </w:p>
    <w:p>
      <w:pPr>
        <w:pStyle w:val="Normal"/>
        <w:widowControl/>
        <w:numPr>
          <w:ilvl w:val="3"/>
          <w:numId w:val="21"/>
        </w:numPr>
        <w:spacing w:before="0" w:after="40"/>
        <w:jc w:val="left"/>
        <w:rPr>
          <w:rFonts w:ascii="Arial" w:hAnsi="Arial" w:cs="Arial"/>
          <w:sz w:val="18"/>
          <w:szCs w:val="18"/>
          <w:lang w:val="fr-FR"/>
        </w:rPr>
      </w:pPr>
      <w:r>
        <w:rPr>
          <w:rStyle w:val="tpt1"/>
          <w:rFonts w:eastAsia="Arial" w:cs="Arial" w:ascii="Arial" w:hAnsi="Arial"/>
          <w:color w:val="auto"/>
          <w:spacing w:val="0"/>
          <w:w w:val="100"/>
          <w:sz w:val="20"/>
          <w:szCs w:val="20"/>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3"/>
          <w:numId w:val="21"/>
        </w:numPr>
        <w:spacing w:before="0" w:after="40"/>
        <w:jc w:val="left"/>
        <w:rPr>
          <w:rFonts w:ascii="Arial" w:hAnsi="Arial" w:cs="Arial"/>
          <w:b/>
          <w:sz w:val="18"/>
          <w:szCs w:val="18"/>
          <w:lang w:val="pt-PT"/>
        </w:rPr>
      </w:pPr>
      <w:r>
        <w:rPr>
          <w:rStyle w:val="tpt1"/>
          <w:rFonts w:eastAsia="Arial" w:cs="Arial" w:ascii="Arial" w:hAnsi="Arial"/>
          <w:color w:val="auto"/>
          <w:spacing w:val="0"/>
          <w:w w:val="100"/>
          <w:sz w:val="20"/>
          <w:szCs w:val="20"/>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evidența posturilor de lucru care, la recomandarea medicului de medicina muncii, necesită testarea aptitudinilor și/ sau control psihologic periodic;</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verificarea stării de funcționare a sistemelor de alarmare, avertizare, semnalizare de urgență, precum și a sistemelor de siguranță;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bCs/>
          <w:color w:val="auto"/>
          <w:spacing w:val="0"/>
          <w:w w:val="100"/>
          <w:sz w:val="20"/>
          <w:szCs w:val="20"/>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întocmirea rapoartelor și/ sau a listelor prevăzute de hotărârile Guvernului emise în temeiul art. 51 alin. (1) lit. b) din Legea 319/ 2006, inclusiv cele referitoare la azbest, vibrații, zgomot și șantiere temporare și mobile;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2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participarea la cercetarea evenimentelor;</w:t>
      </w:r>
    </w:p>
    <w:p>
      <w:pPr>
        <w:pStyle w:val="Normal"/>
        <w:widowControl/>
        <w:numPr>
          <w:ilvl w:val="3"/>
          <w:numId w:val="2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întocmirea evidențelor;</w:t>
      </w:r>
    </w:p>
    <w:p>
      <w:pPr>
        <w:pStyle w:val="Normal"/>
        <w:widowControl/>
        <w:numPr>
          <w:ilvl w:val="3"/>
          <w:numId w:val="21"/>
        </w:numPr>
        <w:spacing w:before="0" w:after="40"/>
        <w:jc w:val="left"/>
        <w:rPr>
          <w:rFonts w:ascii="Arial" w:hAnsi="Arial" w:cs="Arial"/>
          <w:sz w:val="18"/>
          <w:szCs w:val="18"/>
          <w:lang w:val="it-IT"/>
        </w:rPr>
      </w:pPr>
      <w:r>
        <w:rPr>
          <w:rStyle w:val="tpt1"/>
          <w:rFonts w:eastAsia="Arial" w:cs="Arial" w:ascii="Arial" w:hAnsi="Arial"/>
          <w:color w:val="auto"/>
          <w:spacing w:val="0"/>
          <w:w w:val="100"/>
          <w:sz w:val="20"/>
          <w:szCs w:val="20"/>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 xml:space="preserve">art. 12 alin. (1) lit. d) din Legea 319/ 2006</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urmărirea realizării măsurilor dispuse de către inspectorii de muncă, cu prilejul vizitelor de control și al cercetării evenimentelor;</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urmărirea actualizării planului de avertizare, a planului de protecție și prevenire și a planului de evacuare;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bCs/>
          <w:color w:val="auto"/>
          <w:spacing w:val="0"/>
          <w:w w:val="100"/>
          <w:sz w:val="20"/>
          <w:szCs w:val="20"/>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3"/>
          <w:numId w:val="21"/>
        </w:numPr>
        <w:spacing w:before="0" w:after="40"/>
        <w:jc w:val="left"/>
        <w:rPr>
          <w:rStyle w:val="tpt1"/>
          <w:rFonts w:ascii="Arial" w:hAnsi="Arial" w:cs="Arial"/>
          <w:sz w:val="18"/>
          <w:szCs w:val="18"/>
          <w:lang w:val="es-ES_tradnl"/>
        </w:rPr>
      </w:pPr>
      <w:r>
        <w:rPr>
          <w:rStyle w:val="tpt1"/>
          <w:rFonts w:eastAsia="Arial" w:cs="Arial" w:ascii="Arial" w:hAnsi="Arial"/>
          <w:color w:val="auto"/>
          <w:spacing w:val="0"/>
          <w:w w:val="100"/>
          <w:sz w:val="20"/>
          <w:szCs w:val="20"/>
          <w:lang w:val="ro-RO"/>
        </w:rPr>
        <w:t>întocmirea unui necesar de mijloace materiale pentru desfășurarea acestor activități;</w:t>
      </w:r>
    </w:p>
    <w:p>
      <w:pPr>
        <w:pStyle w:val="Normal"/>
        <w:widowControl/>
        <w:numPr>
          <w:ilvl w:val="3"/>
          <w:numId w:val="21"/>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asigurarea/urmărirea ca verificările și/sau încercările periodice ale echipamentelor de muncă să fie efectuate la timp și de către persoane competente ori alte activități necesare, potrivit prevederilor Hotărârii Guvernului nr.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3"/>
          <w:numId w:val="21"/>
        </w:numPr>
        <w:spacing w:before="0" w:after="12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alte activități necesare/specifice asigurării securității și sănătății lucrătorilor la locul de muncă;</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 Obligațiile și drepturile angajaților</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22) </w:t>
      </w: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mod deosebit, în scopul realizării obiectivelor prevăzute la art. 22 din Legea 319/ 2006, lucrătorii au următoarele obligații:</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0"/>
          <w:numId w:val="2"/>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Obligațiile prevăzute la art. 23, alin. (1) din Legea 319/ 2006 se aplică, după caz, și celorlalți participanți la procesul de muncă, potrivit activităților pe care aceștia le desfășoară.</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IV. Organizarea activităților de prevenire și protecție</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(H.G. 1425/ 2006, Art. 14) </w:t>
      </w:r>
      <w:r>
        <w:rPr>
          <w:rStyle w:val="tpa1"/>
          <w:rFonts w:eastAsia="Arial" w:cs="Arial" w:ascii="Arial" w:hAnsi="Arial"/>
          <w:b/>
          <w:color w:val="auto"/>
          <w:spacing w:val="0"/>
          <w:w w:val="100"/>
          <w:sz w:val="20"/>
          <w:szCs w:val="20"/>
          <w:lang w:val="ro-RO"/>
        </w:rPr>
        <w:t>Organizarea activităților de prevenire și protecție este realizată de către angajator, în următoarele moduri:</w:t>
      </w:r>
    </w:p>
    <w:p>
      <w:pPr>
        <w:pStyle w:val="Normal"/>
        <w:widowControl/>
        <w:numPr>
          <w:ilvl w:val="2"/>
          <w:numId w:val="9"/>
        </w:numPr>
        <w:spacing w:before="0" w:after="40"/>
        <w:jc w:val="left"/>
        <w:rPr>
          <w:rFonts w:ascii="Arial" w:hAnsi="Arial" w:cs="Arial"/>
          <w:sz w:val="18"/>
          <w:szCs w:val="18"/>
          <w:lang w:val="ro-RO"/>
        </w:rPr>
      </w:pPr>
      <w:r>
        <w:rPr>
          <w:rStyle w:val="tli1"/>
          <w:rFonts w:eastAsia="Arial" w:cs="Arial" w:ascii="Arial" w:hAnsi="Arial"/>
          <w:color w:val="auto"/>
          <w:spacing w:val="0"/>
          <w:w w:val="100"/>
          <w:sz w:val="20"/>
          <w:szCs w:val="20"/>
          <w:lang w:val="ro-RO"/>
        </w:rPr>
        <w:t>prin asumarea de către angajator, în condițiile art. 9 alin. (4) din lege, a atribuțiilor pentru realizarea măsurilor prevăzute de lege;</w:t>
      </w:r>
    </w:p>
    <w:p>
      <w:pPr>
        <w:pStyle w:val="Normal"/>
        <w:widowControl/>
        <w:numPr>
          <w:ilvl w:val="2"/>
          <w:numId w:val="9"/>
        </w:numPr>
        <w:spacing w:before="0" w:after="40"/>
        <w:jc w:val="left"/>
        <w:rPr>
          <w:rFonts w:ascii="Arial" w:hAnsi="Arial" w:cs="Arial"/>
          <w:sz w:val="18"/>
          <w:szCs w:val="18"/>
          <w:lang w:val="fr-FR"/>
        </w:rPr>
      </w:pPr>
      <w:bookmarkStart w:id="0" w:name="do|caIII|si2|ar14|lid"/>
      <w:r>
        <w:rPr>
          <w:rStyle w:val="tli1"/>
          <w:rFonts w:eastAsia="Arial" w:cs="Arial" w:ascii="Arial" w:hAnsi="Arial"/>
          <w:color w:val="auto"/>
          <w:spacing w:val="0"/>
          <w:w w:val="100"/>
          <w:sz w:val="20"/>
          <w:szCs w:val="20"/>
          <w:lang w:val="ro-RO"/>
        </w:rPr>
        <w:t>prin desemnarea unuia sau mai multor lucrători pentru a se ocupa de activitățile de prevenire și protecție;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color w:val="auto"/>
          <w:spacing w:val="0"/>
          <w:w w:val="100"/>
          <w:sz w:val="20"/>
          <w:szCs w:val="20"/>
          <w:lang w:val="ro-RO"/>
        </w:rPr>
        <w:t xml:space="preserve">prin înființarea unuia sau mai multor servicii interne de prevenire și protecție;</w:t>
      </w:r>
    </w:p>
    <w:p>
      <w:pPr>
        <w:pStyle w:val="Normal"/>
        <w:widowControl/>
        <w:numPr>
          <w:ilvl w:val="2"/>
          <w:numId w:val="9"/>
        </w:numPr>
        <w:spacing w:before="0" w:after="120"/>
        <w:jc w:val="left"/>
        <w:rPr>
          <w:rFonts w:ascii="Arial" w:hAnsi="Arial" w:cs="Arial"/>
          <w:sz w:val="18"/>
          <w:szCs w:val="18"/>
          <w:lang w:val="fr-FR"/>
        </w:rPr>
      </w:pPr>
      <w:bookmarkEnd w:id="0"/>
      <w:r>
        <w:rPr>
          <w:rStyle w:val="tli1"/>
          <w:rFonts w:eastAsia="Arial" w:cs="Arial" w:ascii="Arial" w:hAnsi="Arial"/>
          <w:color w:val="auto"/>
          <w:spacing w:val="0"/>
          <w:w w:val="100"/>
          <w:sz w:val="20"/>
          <w:szCs w:val="20"/>
          <w:lang w:val="ro-RO"/>
        </w:rPr>
        <w:t>prin apelarea la servicii externe de prevenire și protecție.</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(Legea 319/ 2006, Art. 9)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toate cazurile, pentru a se ocupa de organizarea activităților de prevenire și a celor de protecție, ținând seama de mărimea întreprinderii și/ sau unității și/ sau de riscurile la care sunt expuși lucrătorii, precum și de distribuția acestora în cadrul întreprinderii și/ sau unității, se impune ca:</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lucrătorii desemnați să aibă capacitatea necesară și să dispună de mijloacele adecvate;</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serviciile externe să aibă aptitudinile necesare și să dispună de mijloace personale și profesionale adecvate;</w:t>
      </w:r>
    </w:p>
    <w:p>
      <w:pPr>
        <w:pStyle w:val="Normal"/>
        <w:widowControl/>
        <w:numPr>
          <w:ilvl w:val="2"/>
          <w:numId w:val="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lucrătorii desemnați și serviciile externe să fie în număr suficient.</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Prevenirea riscurilor, precum și protecția sănătății și securitatea lucrătorilor trebuie să fie asigurate de unul sau mai mulți lucrători, de un serviciu ori de servicii distincte din interiorul sau din exteriorul întreprinderii și/sau unității.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Lucrătorul/lucrătorii și/sau serviciul/serviciile prevăzute la alin. (2) trebuie să colaboreze între ei ori de câte ori este necesar.</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microîntreprinderilor și al întreprinderilor mici, în care se desfășoară activități fără riscuri deosebite, angajatorul își poate asuma atribuțiile din domeniul securității și sănătății în muncă pentru realizarea măsurilor prevăzute de prezenta lege, dacă are capacitatea necesară în domeniu.</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Ministerul Muncii, Solidarității Sociale și Familiei stabilește prin norme metodologice de aplicare a prevederilor prezentei legi capacitățile și aptitudinile necesare, precum și numărul considerat suficient, prevăzute la alin. (1) și (4).</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 Organizarea activităților de prevenire și protecție pentru </w:t>
      </w:r>
      <w:r>
        <w:rPr>
          <w:rStyle w:val="tal1"/>
          <w:rFonts w:eastAsia="Arial" w:cs="Arial" w:ascii="Arial" w:hAnsi="Arial"/>
          <w:b/>
          <w:bCs/>
          <w:color w:val="auto"/>
          <w:spacing w:val="0"/>
          <w:w w:val="100"/>
          <w:sz w:val="20"/>
          <w:szCs w:val="20"/>
          <w:lang w:val="ro-RO"/>
        </w:rPr>
        <w:t>întreprinderile cu până la 9 lucrători inclusiv</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16)</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În cazul întreprinderilor cu până la 9 lucrători inclusiv, angajatorul poate efectua activitățile din domeniul securității și sănătății în muncă, dacă se îndeplinesc cumulativ următoarele condiții:</w:t>
      </w:r>
    </w:p>
    <w:p>
      <w:pPr>
        <w:pStyle w:val="Normal"/>
        <w:widowControl/>
        <w:numPr>
          <w:ilvl w:val="2"/>
          <w:numId w:val="9"/>
        </w:numPr>
        <w:spacing w:before="0" w:after="40"/>
        <w:jc w:val="left"/>
        <w:rPr>
          <w:rFonts w:ascii="Arial" w:hAnsi="Arial" w:cs="Arial"/>
          <w:sz w:val="18"/>
          <w:szCs w:val="18"/>
          <w:lang w:val="de-DE"/>
        </w:rPr>
      </w:pPr>
      <w:r>
        <w:rPr>
          <w:rStyle w:val="tli1"/>
          <w:rFonts w:eastAsia="Arial" w:cs="Arial" w:ascii="Arial" w:hAnsi="Arial"/>
          <w:bCs/>
          <w:color w:val="auto"/>
          <w:spacing w:val="0"/>
          <w:w w:val="100"/>
          <w:sz w:val="20"/>
          <w:szCs w:val="20"/>
          <w:lang w:val="ro-RO"/>
        </w:rPr>
        <w:t>activitățile desfășurate în cadrul întreprinderii nu sunt dintre cele prevăzute în anexa nr. 5 din H.G. 1425/ 2006;</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angajatorul își desfășoară activitatea profesională în mod efectiv și cu regularitate în întreprindere și/sau unitate;</w:t>
      </w:r>
    </w:p>
    <w:p>
      <w:pPr>
        <w:pStyle w:val="Normal"/>
        <w:widowControl/>
        <w:numPr>
          <w:ilvl w:val="2"/>
          <w:numId w:val="9"/>
        </w:numPr>
        <w:spacing w:before="0" w:after="12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angajatorul a urmat cel puțin un program de pregătire în domeniul securității și sănătății în muncă, cu o durată minimă de 40 de ore și conținutul prevăzut în anexa nr. 6 lit. A din H.G. 1425/ 2006, fapt care se atestă printr-un document de absolvire a programului de pregătire.</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În situația în care nu sunt îndeplinite condițiile prevăzute la alin. (1) de mai sus, angajatorul trebuie să desemneze unul sau mai mulți lucrători ori poate organiza serviciul intern de prevenire și protecție și/sau poate să apeleze la servicii externe, în condițiile prezentelor norme metodologice.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În cazul în care angajatorul/lucrătorii desemnați/serviciile interne de prevenire și protecție nu au capacitățile și aptitudinile necesare pentru efectuarea tuturor activităților de prevenire și protecție prevăzute la art. 15 din H.G. 1425/ 2006,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IV.II. Organizarea activităților de prevenire și protecție pentru </w:t>
      </w:r>
      <w:r>
        <w:rPr>
          <w:rStyle w:val="tal1"/>
          <w:rFonts w:eastAsia="Arial" w:cs="Arial" w:ascii="Arial" w:hAnsi="Arial"/>
          <w:b/>
          <w:bCs/>
          <w:color w:val="auto"/>
          <w:spacing w:val="0"/>
          <w:w w:val="100"/>
          <w:sz w:val="20"/>
          <w:szCs w:val="20"/>
          <w:lang w:val="ro-RO"/>
        </w:rPr>
        <w:t>întreprinderile care au între 10 și 49 de lucrători inclusiv</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17)</w:t>
      </w:r>
      <w:r>
        <w:rPr>
          <w:rFonts w:eastAsia="Arial" w:cs="Arial" w:ascii="Arial" w:hAnsi="Arial"/>
          <w:color w:val="auto"/>
          <w:spacing w:val="0"/>
          <w:w w:val="100"/>
          <w:sz w:val="20"/>
          <w:szCs w:val="20"/>
          <w:lang w:val="ro-RO"/>
        </w:rPr>
        <w:t xml:space="preserve"> </w:t>
      </w:r>
      <w:bookmarkStart w:id="1" w:name="do|caIII|si2|ar18"/>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cazul întreprinderilor care au între 10 și 49 de lucrători inclusiv, angajatorul poate efectua activitățile din domeniul securității și sănătății în muncă, dacă se îndeplinesc cumulativ următoarele condiții: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sunt respectate prevederile art. 16 alin. </w:t>
      </w:r>
      <w:r>
        <w:rPr>
          <w:rStyle w:val="tli1"/>
          <w:rFonts w:eastAsia="Arial" w:cs="Arial" w:ascii="Arial" w:hAnsi="Arial"/>
          <w:bCs/>
          <w:color w:val="auto"/>
          <w:spacing w:val="0"/>
          <w:w w:val="100"/>
          <w:sz w:val="20"/>
          <w:szCs w:val="20"/>
          <w:lang w:val="ro-RO"/>
        </w:rPr>
        <w:t>(1) lit. a) - c);</w:t>
      </w:r>
    </w:p>
    <w:p>
      <w:pPr>
        <w:pStyle w:val="Normal"/>
        <w:widowControl/>
        <w:numPr>
          <w:ilvl w:val="2"/>
          <w:numId w:val="9"/>
        </w:numPr>
        <w:spacing w:before="0" w:after="12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riscurile identificate nu pot genera accidente sau boli profesionale cu consecințe grave, ireversibile, respectiv deces ori invaliditate.</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situația în care nu sunt îndeplinite condițiile prevăzute la alin. (1), angajatorul trebuie să desemneze unul sau mai mulți lucrători ori poate organiza unul sau mai multe servicii interne de prevenire și protecție și/sau poate să apeleze la servicii externe, în condițiile prezentelor norme metodologice.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cazul în care angajatorul/lucrătorii desemnați/serviciile interne de prevenire și protecție nu au capacitățile și aptitudinile necesare pentru efectuarea tuturor activităților de prevenire și protecție prevăzute la art. 15,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IV.III. Organizarea activităților de prevenire și protecție pentru </w:t>
      </w:r>
      <w:r>
        <w:rPr>
          <w:rStyle w:val="tal1"/>
          <w:rFonts w:eastAsia="Arial" w:cs="Arial" w:ascii="Arial" w:hAnsi="Arial"/>
          <w:b/>
          <w:bCs/>
          <w:color w:val="auto"/>
          <w:spacing w:val="0"/>
          <w:w w:val="100"/>
          <w:sz w:val="20"/>
          <w:szCs w:val="20"/>
          <w:lang w:val="ro-RO"/>
        </w:rPr>
        <w:t>întreprinderile care au între 50 și 249 de lucrători inclusiv</w:t>
      </w:r>
    </w:p>
    <w:p>
      <w:pPr>
        <w:pStyle w:val="Normal"/>
        <w:widowControl/>
        <w:numPr>
          <w:ilvl w:val="0"/>
          <w:numId w:val="9"/>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(Preluare din H.G. 1425/ 2006 – Art. 18)</w:t>
      </w:r>
      <w:r>
        <w:rPr>
          <w:rFonts w:eastAsia="Arial" w:cs="Arial" w:ascii="Arial" w:hAnsi="Arial"/>
          <w:color w:val="auto"/>
          <w:spacing w:val="0"/>
          <w:w w:val="100"/>
          <w:sz w:val="20"/>
          <w:szCs w:val="20"/>
          <w:lang w:val="ro-RO"/>
        </w:rPr>
        <w:t xml:space="preserve"> </w:t>
      </w:r>
      <w:bookmarkStart w:id="2" w:name="do|caIII|si2|ar19|al1"/>
      <w:bookmarkEnd w:id="1"/>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În cazul întreprinderilor și/sau unităților care au între 50 și 249 de lucrători, angajatorul trebuie să desemneze unul sau mai mulți lucrători ori să organizeze unul sau mai multe servicii interne de prevenire și protecție pentru a se ocupa de activitățile de prevenire și protecție din cadrul întreprinderii.</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În cazul întreprinderilor și/sau unităților prevăzute la alin. (1) care desfășoară activități dintre cele prevăzute în anexa nr. 5 </w:t>
      </w:r>
      <w:r>
        <w:rPr>
          <w:rStyle w:val="tli1"/>
          <w:rFonts w:eastAsia="Arial" w:cs="Arial" w:ascii="Arial" w:hAnsi="Arial"/>
          <w:bCs/>
          <w:color w:val="auto"/>
          <w:spacing w:val="0"/>
          <w:w w:val="100"/>
          <w:sz w:val="20"/>
          <w:szCs w:val="20"/>
          <w:lang w:val="ro-RO"/>
        </w:rPr>
        <w:t>din H.G. 1425/ 2006</w:t>
      </w:r>
      <w:r>
        <w:rPr>
          <w:rStyle w:val="tal1"/>
          <w:rFonts w:eastAsia="Arial" w:cs="Arial" w:ascii="Arial" w:hAnsi="Arial"/>
          <w:bCs/>
          <w:color w:val="auto"/>
          <w:spacing w:val="0"/>
          <w:w w:val="100"/>
          <w:sz w:val="20"/>
          <w:szCs w:val="20"/>
          <w:lang w:val="ro-RO"/>
        </w:rPr>
        <w:t>, angajatorul trebuie să organizeze unul sau mai multe servicii interne de prevenire și protecție.</w:t>
      </w:r>
    </w:p>
    <w:p>
      <w:pPr>
        <w:pStyle w:val="Normal"/>
        <w:widowControl/>
        <w:spacing w:before="0" w:after="120"/>
        <w:ind w:hanging="0"/>
        <w:jc w:val="left"/>
        <w:rPr>
          <w:rFonts w:ascii="Arial" w:hAnsi="Arial" w:cs="Arial"/>
          <w:i/>
          <w:sz w:val="18"/>
          <w:szCs w:val="18"/>
          <w:lang w:val="de-DE"/>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În cazul în care lucrătorii desemnați, serviciile interne de prevenire și protecție nu au capacitățile și aptitudinile necesare pentru efectuarea tuturor activităților de prevenire și protecție prevăzute la art. 15,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IV.IV. Organizarea activităților de prevenire și protecție </w:t>
      </w:r>
      <w:r>
        <w:rPr>
          <w:rStyle w:val="tal1"/>
          <w:rFonts w:eastAsia="Arial" w:cs="Arial" w:ascii="Arial" w:hAnsi="Arial"/>
          <w:b/>
          <w:bCs/>
          <w:color w:val="auto"/>
          <w:spacing w:val="0"/>
          <w:w w:val="100"/>
          <w:sz w:val="20"/>
          <w:szCs w:val="20"/>
          <w:lang w:val="ro-RO"/>
        </w:rPr>
        <w:t>în cazul întreprinderilor și/ sau unităților care au peste 250 de lucrători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19)</w:t>
      </w:r>
      <w:r>
        <w:rPr>
          <w:rFonts w:eastAsia="Arial" w:cs="Arial" w:ascii="Arial" w:hAnsi="Arial"/>
          <w:color w:val="auto"/>
          <w:spacing w:val="0"/>
          <w:w w:val="100"/>
          <w:sz w:val="20"/>
          <w:szCs w:val="20"/>
          <w:lang w:val="ro-RO"/>
        </w:rPr>
        <w:t xml:space="preserve"> </w:t>
      </w:r>
      <w:bookmarkEnd w:id="2"/>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În cazul întreprinderilor și/ sau unităților care au peste 250 de lucrători, angajatorul trebuie să organizeze unul sau mai multe servicii interne de prevenire și protecție.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În cazul în care serviciile interne de prevenire și protecție nu au capacitățile și aptitudinile necesare pentru efectuarea tuturor activităților de prevenire și protecție prevăzute la art. 15, angajatorul trebuie să apeleze la unul sau mai multe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IV.V. Desemnarea lucrătorilor pentru activitățile de prevenire și protecție</w:t>
      </w:r>
      <w:r>
        <w:rPr>
          <w:rStyle w:val="tal1"/>
          <w:rFonts w:eastAsia="Arial" w:cs="Arial" w:ascii="Arial" w:hAnsi="Arial"/>
          <w:b/>
          <w:bCs/>
          <w:color w:val="auto"/>
          <w:spacing w:val="0"/>
          <w:w w:val="100"/>
          <w:sz w:val="20"/>
          <w:szCs w:val="20"/>
          <w:lang w:val="ro-RO"/>
        </w:rPr>
        <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Lucrători desemnați – Art. 20)</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Desemnarea nominală a lucrătorului/ lucrătorilor pentru a se ocupa de activitățile de prevenire și protecție se face prin decizie scrisă a angajatorului.</w:t>
      </w:r>
    </w:p>
    <w:p>
      <w:pPr>
        <w:pStyle w:val="Normal"/>
        <w:widowControl/>
        <w:spacing w:before="0" w:after="120"/>
        <w:ind w:hanging="0"/>
        <w:jc w:val="left"/>
        <w:rPr>
          <w:rFonts w:ascii="Arial" w:hAnsi="Arial" w:cs="Arial"/>
          <w:sz w:val="18"/>
          <w:szCs w:val="18"/>
          <w:lang w:val="de-DE"/>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Angajatorul va desemna lucrătorul numai din rândul lucrătorilor cu care are încheiat contract individual de muncă cu normă întreagă.</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 xml:space="preserve">Angajatorul va consemna în fișa postului activitățile de prevenire și protecție pe care lucrătorul desemnat are capacitatea, timpul necesar și mijloacele adecvate să le efectueze.</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Subcapitolul IV.VI. Lucrătorii desemnați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21)</w:t>
      </w:r>
      <w:r>
        <w:rPr>
          <w:rStyle w:val="tal1"/>
          <w:rFonts w:eastAsia="Arial" w:cs="Arial" w:ascii="Arial" w:hAnsi="Arial"/>
          <w:color w:val="auto"/>
          <w:spacing w:val="0"/>
          <w:w w:val="100"/>
          <w:sz w:val="20"/>
          <w:szCs w:val="20"/>
          <w:lang w:val="ro-RO"/>
        </w:rPr>
        <w:t xml:space="preserve"> </w:t>
      </w:r>
      <w:bookmarkStart w:id="3" w:name="do|caIII|si3|ar21|pa1"/>
      <w:bookmarkEnd w:id="3"/>
      <w:r>
        <w:rPr>
          <w:rStyle w:val="tpa1"/>
          <w:rFonts w:eastAsia="Arial" w:cs="Arial" w:ascii="Arial" w:hAnsi="Arial"/>
          <w:bCs/>
          <w:color w:val="auto"/>
          <w:spacing w:val="0"/>
          <w:w w:val="100"/>
          <w:sz w:val="20"/>
          <w:szCs w:val="20"/>
          <w:lang w:val="ro-RO"/>
        </w:rPr>
        <w:t>Pentru a putea să desfășoare activitățile de prevenire și protecție, lucrătorul desemnat trebuie să îndeplinească cel puțin cerințele minime de pregătire în domeniul securității și sănătății în muncă, potrivit prevederilor art. 49, sau prevederile Art. 51</w:t>
      </w:r>
      <w:r>
        <w:rPr>
          <w:rStyle w:val="tpa1"/>
          <w:rFonts w:eastAsia="Arial" w:cs="Arial" w:ascii="Arial" w:hAnsi="Arial"/>
          <w:bCs/>
          <w:color w:val="auto"/>
          <w:spacing w:val="0"/>
          <w:w w:val="100"/>
          <w:sz w:val="20"/>
          <w:szCs w:val="20"/>
          <w:vertAlign w:val="superscript"/>
          <w:lang w:val="ro-RO"/>
        </w:rPr>
        <w:t>1</w:t>
      </w:r>
      <w:r>
        <w:rPr>
          <w:rStyle w:val="tpa1"/>
          <w:rFonts w:eastAsia="Arial" w:cs="Arial" w:ascii="Arial" w:hAnsi="Arial"/>
          <w:bCs/>
          <w:color w:val="auto"/>
          <w:spacing w:val="0"/>
          <w:w w:val="100"/>
          <w:sz w:val="20"/>
          <w:szCs w:val="20"/>
          <w:lang w:val="ro-RO"/>
        </w:rPr>
        <w:t xml:space="preserve"> lit. a) H.G. 1425/ 2006.</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22)</w:t>
      </w:r>
      <w:r>
        <w:rPr>
          <w:rStyle w:val="tal1"/>
          <w:rFonts w:eastAsia="Arial" w:cs="Arial" w:ascii="Arial" w:hAnsi="Arial"/>
          <w:color w:val="auto"/>
          <w:spacing w:val="0"/>
          <w:w w:val="100"/>
          <w:sz w:val="20"/>
          <w:szCs w:val="20"/>
          <w:lang w:val="ro-RO"/>
        </w:rPr>
        <w:t xml:space="preserve"> </w:t>
      </w:r>
      <w:bookmarkStart w:id="4" w:name="do|caIII|si3|ar22|al1"/>
      <w:bookmarkEnd w:id="4"/>
      <w:r>
        <w:rPr>
          <w:rStyle w:val="al1"/>
          <w:rFonts w:eastAsia="Arial" w:cs="Arial" w:ascii="Arial" w:hAnsi="Arial"/>
          <w:color w:val="auto"/>
          <w:spacing w:val="0"/>
          <w:w w:val="100"/>
          <w:sz w:val="20"/>
          <w:szCs w:val="20"/>
          <w:lang w:val="ro-RO"/>
        </w:rPr>
        <w:t xml:space="preserve">(1) </w:t>
      </w:r>
      <w:r>
        <w:rPr>
          <w:rStyle w:val="tal1"/>
          <w:rFonts w:eastAsia="Arial" w:cs="Arial" w:ascii="Arial" w:hAnsi="Arial"/>
          <w:color w:val="auto"/>
          <w:spacing w:val="0"/>
          <w:w w:val="100"/>
          <w:sz w:val="20"/>
          <w:szCs w:val="20"/>
          <w:lang w:val="ro-RO"/>
        </w:rPr>
        <w:t>Angajatorul va stabili numărul de lucrători desemnați în funcție de mărimea întreprinderii și/ sau unității și/ sau riscurile la care sunt expuși lucrătorii, precum și de distribuția acestora în cadrul întreprinderii și/ sau unității.</w:t>
      </w:r>
    </w:p>
    <w:p>
      <w:pPr>
        <w:pStyle w:val="Normal"/>
        <w:widowControl/>
        <w:spacing w:before="0" w:after="120"/>
        <w:ind w:hanging="0"/>
        <w:jc w:val="left"/>
        <w:rPr>
          <w:rStyle w:val="tal1"/>
          <w:rFonts w:ascii="Arial" w:hAnsi="Arial" w:cs="Arial"/>
          <w:sz w:val="18"/>
          <w:szCs w:val="18"/>
          <w:lang w:val="it-IT"/>
        </w:rPr>
      </w:pPr>
      <w:bookmarkStart w:id="5" w:name="do|caIII|si3|ar22|al2"/>
      <w:bookmarkEnd w:id="5"/>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Angajatorul trebuie să asigure mijloacele adecvate și timpul necesar pentru ca lucrătorii desemnați să poată desfășura activitățile de prevenire și protecție conform fișei postului.</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Subcapitolul IV.VII. Servicii externe de prevenire și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28)</w:t>
      </w:r>
      <w:r>
        <w:rPr>
          <w:rStyle w:val="tal1"/>
          <w:rFonts w:eastAsia="Arial" w:cs="Arial" w:ascii="Arial" w:hAnsi="Arial"/>
          <w:color w:val="auto"/>
          <w:spacing w:val="0"/>
          <w:w w:val="100"/>
          <w:sz w:val="20"/>
          <w:szCs w:val="20"/>
          <w:lang w:val="ro-RO"/>
        </w:rPr>
        <w:t xml:space="preserve"> </w:t>
      </w:r>
      <w:bookmarkStart w:id="6" w:name="do|caIII|si5|ar28|pa1"/>
      <w:bookmarkEnd w:id="6"/>
      <w:r>
        <w:rPr>
          <w:rStyle w:val="tpa1"/>
          <w:rFonts w:eastAsia="Arial" w:cs="Arial" w:ascii="Arial" w:hAnsi="Arial"/>
          <w:color w:val="auto"/>
          <w:spacing w:val="0"/>
          <w:w w:val="100"/>
          <w:sz w:val="20"/>
          <w:szCs w:val="20"/>
          <w:lang w:val="ro-RO"/>
        </w:rPr>
        <w:t>Serviciul extern de prevenire și protecție asigură, pe bază de contract, activitățile de prevenire și protecție în domeniu.</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30)</w:t>
      </w:r>
      <w:r>
        <w:rPr>
          <w:rStyle w:val="tal1"/>
          <w:rFonts w:eastAsia="Arial" w:cs="Arial" w:ascii="Arial" w:hAnsi="Arial"/>
          <w:color w:val="auto"/>
          <w:spacing w:val="0"/>
          <w:w w:val="100"/>
          <w:sz w:val="20"/>
          <w:szCs w:val="20"/>
          <w:lang w:val="ro-RO"/>
        </w:rPr>
        <w:t xml:space="preserve"> </w:t>
      </w:r>
      <w:bookmarkStart w:id="7" w:name="do|caIII|si5|ar30|pa1"/>
      <w:bookmarkEnd w:id="7"/>
      <w:r>
        <w:rPr>
          <w:rStyle w:val="tpa1"/>
          <w:rFonts w:eastAsia="Arial" w:cs="Arial" w:ascii="Arial" w:hAnsi="Arial"/>
          <w:color w:val="auto"/>
          <w:spacing w:val="0"/>
          <w:w w:val="100"/>
          <w:sz w:val="20"/>
          <w:szCs w:val="20"/>
          <w:lang w:val="ro-RO"/>
        </w:rPr>
        <w:t>Serviciul extern trebuie să aibă acces la toate informațiile necesare desfășurării activității de prevenire și protecție.</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33)</w:t>
      </w:r>
      <w:r>
        <w:rPr>
          <w:rStyle w:val="tal1"/>
          <w:rFonts w:eastAsia="Arial" w:cs="Arial" w:ascii="Arial" w:hAnsi="Arial"/>
          <w:color w:val="auto"/>
          <w:spacing w:val="0"/>
          <w:w w:val="100"/>
          <w:sz w:val="20"/>
          <w:szCs w:val="20"/>
          <w:lang w:val="ro-RO"/>
        </w:rPr>
        <w:t xml:space="preserve"> </w:t>
      </w:r>
      <w:bookmarkStart w:id="8" w:name="do|caIII|si5|ar33|pa1"/>
      <w:bookmarkEnd w:id="8"/>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Contractul încheiat între angajator și serviciul extern de prevenire și protecție trebuie să cuprindă și următoarele: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activitățile de prevenire și protecție care vor fi desfășurate de către fiecare serviciu extern de prevenire și protecție;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modul de colaborare cu lucrătorii desemnați/serviciile interne și/sau cu alte servicii externe de prevenire și protecție;</w:t>
      </w:r>
    </w:p>
    <w:p>
      <w:pPr>
        <w:pStyle w:val="Normal"/>
        <w:widowControl/>
        <w:numPr>
          <w:ilvl w:val="2"/>
          <w:numId w:val="9"/>
        </w:numPr>
        <w:spacing w:before="0" w:after="120"/>
        <w:jc w:val="left"/>
        <w:rPr>
          <w:rStyle w:val="tli1"/>
          <w:rFonts w:ascii="Arial" w:hAnsi="Arial" w:cs="Arial"/>
          <w:bCs/>
          <w:sz w:val="18"/>
          <w:szCs w:val="18"/>
          <w:lang w:val="fr-FR"/>
        </w:rPr>
      </w:pPr>
      <w:r>
        <w:rPr>
          <w:rStyle w:val="tli1"/>
          <w:rFonts w:eastAsia="Arial" w:cs="Arial" w:ascii="Arial" w:hAnsi="Arial"/>
          <w:bCs/>
          <w:color w:val="auto"/>
          <w:spacing w:val="0"/>
          <w:w w:val="100"/>
          <w:sz w:val="20"/>
          <w:szCs w:val="20"/>
          <w:lang w:val="ro-RO"/>
        </w:rPr>
        <w:t xml:space="preserve">clauze privind soluționarea litigiilor apărute între părți.</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IV.VIII. </w:t>
      </w:r>
      <w:r>
        <w:rPr>
          <w:rStyle w:val="tpa1"/>
          <w:rFonts w:eastAsia="Arial" w:cs="Arial" w:ascii="Arial" w:hAnsi="Arial"/>
          <w:b/>
          <w:color w:val="auto"/>
          <w:spacing w:val="0"/>
          <w:w w:val="100"/>
          <w:sz w:val="20"/>
          <w:szCs w:val="20"/>
          <w:lang w:val="ro-RO"/>
        </w:rPr>
        <w:t>Reprezentanții lucrătorilor cu răspunderi specifice</w:t>
      </w:r>
    </w:p>
    <w:p>
      <w:pPr>
        <w:pStyle w:val="Normal"/>
        <w:widowControl/>
        <w:numPr>
          <w:ilvl w:val="0"/>
          <w:numId w:val="9"/>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1425/ 2006, Art. 52)</w:t>
      </w:r>
      <w:r>
        <w:rPr>
          <w:rStyle w:val="tal1"/>
          <w:rFonts w:eastAsia="Arial" w:cs="Arial" w:ascii="Arial" w:hAnsi="Arial"/>
          <w:color w:val="auto"/>
          <w:spacing w:val="0"/>
          <w:w w:val="100"/>
          <w:sz w:val="20"/>
          <w:szCs w:val="20"/>
          <w:lang w:val="ro-RO"/>
        </w:rPr>
        <w:t xml:space="preserve"> </w:t>
      </w:r>
      <w:bookmarkStart w:id="9" w:name="do|caIII|si9|ar52|pa1"/>
      <w:bookmarkEnd w:id="9"/>
      <w:r>
        <w:rPr>
          <w:rStyle w:val="tpa1"/>
          <w:rFonts w:eastAsia="Arial" w:cs="Arial" w:ascii="Arial" w:hAnsi="Arial"/>
          <w:color w:val="auto"/>
          <w:spacing w:val="0"/>
          <w:w w:val="100"/>
          <w:sz w:val="20"/>
          <w:szCs w:val="20"/>
          <w:lang w:val="ro-RO"/>
        </w:rPr>
        <w:t xml:space="preserve">Reprezentanții lucrătorilor cu răspunderi specifice în domeniul securității și sănătății în muncă, definiți conform art. 5 lit. d) din Legea 319/ 2006, sunt aleși de către și dintre lucrătorii din întreprindere și/sau unitate, conform celor stabilite prin contractul colectiv de muncă, regulamentul intern sau regulamentul de organizare și funcționare.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Art. 5, lit. d)</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sensul Legii 319/ 2006, termenul de reprezentant al lucrătorilor cu răspunderi specifice în domeniul securității și sănătății lucrătorilor are următorul înțeles: 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53)</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Numărul de reprezentanți ai lucrătorilor cu răspunderi specifice în domeniul securității și sănătății, care se aleg, va fi stabilit prin contractul colectiv de muncă, regulamentul intern sau regulamentul de organizare și funcționare, în funcție de numărul total al lucrătorilor din întreprindere și/sau unitate.</w:t>
      </w:r>
    </w:p>
    <w:p>
      <w:pPr>
        <w:pStyle w:val="Normal"/>
        <w:keepNext/>
        <w:widowControl/>
        <w:spacing w:before="0" w:after="6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minim prevăzut la alin. (1) va fi stabilit după cum urmează:</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un reprezentant, în cazul întreprinderilor și/sau unităților care au între 10 și 49 de lucrători inclusiv;</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2 reprezentanți, în cazul întreprinderilor și/sau unităților care au între 50 și 100 de lucrători inclusiv;</w:t>
      </w:r>
    </w:p>
    <w:p>
      <w:pPr>
        <w:pStyle w:val="Normal"/>
        <w:widowControl/>
        <w:numPr>
          <w:ilvl w:val="2"/>
          <w:numId w:val="9"/>
        </w:numPr>
        <w:spacing w:before="0" w:after="120"/>
        <w:jc w:val="left"/>
        <w:rPr>
          <w:rFonts w:ascii="Arial" w:hAnsi="Arial" w:cs="Arial"/>
          <w:sz w:val="18"/>
          <w:szCs w:val="18"/>
          <w:lang w:val="de-DE"/>
        </w:rPr>
      </w:pPr>
      <w:r>
        <w:rPr>
          <w:rStyle w:val="tli1"/>
          <w:rFonts w:eastAsia="Arial" w:cs="Arial" w:ascii="Arial" w:hAnsi="Arial"/>
          <w:bCs/>
          <w:color w:val="auto"/>
          <w:spacing w:val="0"/>
          <w:w w:val="100"/>
          <w:sz w:val="20"/>
          <w:szCs w:val="20"/>
          <w:lang w:val="ro-RO"/>
        </w:rPr>
        <w:t xml:space="preserve">conform cerințelor prevăzute la art. 60 alin. (3) din </w:t>
      </w:r>
      <w:r>
        <w:rPr>
          <w:rStyle w:val="tpa1"/>
          <w:rFonts w:eastAsia="Arial" w:cs="Arial" w:ascii="Arial" w:hAnsi="Arial"/>
          <w:bCs/>
          <w:color w:val="auto"/>
          <w:spacing w:val="0"/>
          <w:w w:val="100"/>
          <w:sz w:val="20"/>
          <w:szCs w:val="20"/>
          <w:lang w:val="ro-RO"/>
        </w:rPr>
        <w:t>H.G. 1425/ 2006</w:t>
      </w:r>
      <w:r>
        <w:rPr>
          <w:rStyle w:val="tli1"/>
          <w:rFonts w:eastAsia="Arial" w:cs="Arial" w:ascii="Arial" w:hAnsi="Arial"/>
          <w:bCs/>
          <w:color w:val="auto"/>
          <w:spacing w:val="0"/>
          <w:w w:val="100"/>
          <w:sz w:val="20"/>
          <w:szCs w:val="20"/>
          <w:lang w:val="ro-RO"/>
        </w:rPr>
        <w:t>, în cazul întreprinderilor și/ sau unităților care au peste 101 lucrători inclusiv.</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54)</w:t>
      </w:r>
      <w:r>
        <w:rPr>
          <w:rStyle w:val="tal1"/>
          <w:rFonts w:eastAsia="Arial" w:cs="Arial" w:ascii="Arial" w:hAnsi="Arial"/>
          <w:color w:val="auto"/>
          <w:spacing w:val="0"/>
          <w:w w:val="100"/>
          <w:sz w:val="20"/>
          <w:szCs w:val="20"/>
          <w:lang w:val="ro-RO"/>
        </w:rPr>
        <w:t xml:space="preserve"> </w:t>
      </w:r>
      <w:bookmarkStart w:id="10" w:name="do|caIII|si9|ar54|pa1"/>
      <w:bookmarkEnd w:id="10"/>
      <w:r>
        <w:rPr>
          <w:rStyle w:val="tpa1"/>
          <w:rFonts w:eastAsia="Arial" w:cs="Arial" w:ascii="Arial" w:hAnsi="Arial"/>
          <w:color w:val="auto"/>
          <w:spacing w:val="0"/>
          <w:w w:val="100"/>
          <w:sz w:val="20"/>
          <w:szCs w:val="20"/>
          <w:lang w:val="ro-RO"/>
        </w:rPr>
        <w:t>Lucrătorii comunică în scris angajatorului numărul și numele reprezentanților lucrătorilor cu răspunderi specifice 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55)</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 xml:space="preserve">Reprezentanții lucrătorilor cu răspunderi specifice în domeniul securității și sănătății lucrătorilor trebuie să urmeze un program de pregătire în domeniul securității și sănătății în muncă, cu o durată de cel puțin 40 de ore, cu conținutul minim conform celui prevăzut în anexa nr. 6 lit. A</w:t>
      </w:r>
      <w:r>
        <w:rPr>
          <w:rStyle w:val="tli1"/>
          <w:rFonts w:eastAsia="Arial" w:cs="Arial" w:ascii="Arial" w:hAnsi="Arial"/>
          <w:bCs/>
          <w:color w:val="auto"/>
          <w:spacing w:val="0"/>
          <w:w w:val="100"/>
          <w:sz w:val="20"/>
          <w:szCs w:val="20"/>
          <w:lang w:val="ro-RO"/>
        </w:rPr>
        <w:t xml:space="preserve"> din H.G. 1425/ 2006</w:t>
      </w:r>
      <w:r>
        <w:rPr>
          <w:rStyle w:val="tal1"/>
          <w:rFonts w:eastAsia="Arial" w:cs="Arial" w:ascii="Arial" w:hAnsi="Arial"/>
          <w:bCs/>
          <w:color w:val="auto"/>
          <w:spacing w:val="0"/>
          <w:w w:val="100"/>
          <w:sz w:val="20"/>
          <w:szCs w:val="20"/>
          <w:lang w:val="ro-RO"/>
        </w:rPr>
        <w:t>.</w:t>
      </w:r>
    </w:p>
    <w:p>
      <w:pPr>
        <w:pStyle w:val="Normal"/>
        <w:widowControl/>
        <w:spacing w:before="0" w:after="120"/>
        <w:ind w:hanging="0"/>
        <w:jc w:val="left"/>
        <w:rPr>
          <w:rFonts w:ascii="Arial" w:hAnsi="Arial" w:cs="Arial"/>
          <w:sz w:val="18"/>
          <w:szCs w:val="18"/>
          <w:lang w:val="de-DE"/>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Îndeplinirea cerinței prevăzute la alin. (1) se atestă printr-un document de absolvire a programului de pregătire.</w:t>
      </w:r>
    </w:p>
    <w:p>
      <w:pPr>
        <w:pStyle w:val="Normal"/>
        <w:keepNext w:val="true"/>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 xml:space="preserve">Capitolul V. Informații </w:t>
      </w:r>
      <w:r>
        <w:rPr>
          <w:rStyle w:val="tpt1"/>
          <w:rFonts w:eastAsia="Arial" w:cs="Arial" w:ascii="Arial" w:hAnsi="Arial"/>
          <w:b/>
          <w:color w:val="auto"/>
          <w:spacing w:val="0"/>
          <w:w w:val="100"/>
          <w:sz w:val="20"/>
          <w:szCs w:val="20"/>
          <w:lang w:val="ro-RO"/>
        </w:rPr>
        <w:t>privind instruirea lucrătorilor în domeniul securității și sănătății în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Având în vedere prevederile Legii 319/ 2006, Art. 7, alin. (1), lit. c), Art. 13, lit. e), H.G. 1425/ 2006 Art. 15, alin. (1), punctul 3, Art. 92, s-au întocmit instrucțiunile proprii privind instruirea lucrătorilor</w:t>
      </w:r>
      <w:r>
        <w:rPr>
          <w:rStyle w:val="tpt1"/>
          <w:rFonts w:eastAsia="Arial" w:cs="Arial" w:ascii="Arial" w:hAnsi="Arial"/>
          <w:b/>
          <w:color w:val="auto"/>
          <w:spacing w:val="0"/>
          <w:w w:val="100"/>
          <w:sz w:val="20"/>
          <w:szCs w:val="20"/>
          <w:lang w:val="ro-RO"/>
        </w:rPr>
        <w:t xml:space="preserve"> în domeniul securității și sănătății în muncă,</w:t>
      </w:r>
      <w:r>
        <w:rPr>
          <w:rFonts w:eastAsia="Arial" w:cs="Arial" w:ascii="Arial" w:hAnsi="Arial"/>
          <w:b w:val="false"/>
          <w:color w:val="auto"/>
          <w:spacing w:val="0"/>
          <w:w w:val="100"/>
          <w:sz w:val="20"/>
          <w:szCs w:val="20"/>
          <w:lang w:val="ro-RO"/>
        </w:rPr>
        <w:t xml:space="preserve"> document cu caracter intern de reglementare a modului de instruire a lucrătorilor.</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20, alin. 1, 2,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Angajatorul va asigura toate condițiile pentru ca fiecare lucrător să primească o instruire suficientă și adecvată în domeniul securității și sănătății în muncă, în special sub formă de informații și instrucțiuni de lucru, specifice locului de muncă și postului său:</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angajare;</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schimbarea locului de muncă sau la transfer;</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1"/>
          <w:numId w:val="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1"/>
          <w:numId w:val="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va fi:</w:t>
      </w:r>
    </w:p>
    <w:p>
      <w:pPr>
        <w:pStyle w:val="Normal"/>
        <w:widowControl/>
        <w:numPr>
          <w:ilvl w:val="0"/>
          <w:numId w:val="4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4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vor primi de asemenea o instruire corespunzătoare în domeniul securității și sănătății în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319/ 2006 – Art. 21)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Instruirea lucrătorilor în domeniul securității și sănătății în muncă nu va fi realizată pe cheltuiala lucrătorilor și/ 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se va realiza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20 alin. (4) trebuie să se efectueze în timpul programului de lucru, fie în interiorul, fie în afara întreprinderii și/sau unității, fie online.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Dovada instruirii prevăzută la art. 20 poate fi realizată în format electronic sau pe suport hârtie în funcție de modalitatea aleasă de către angajator, stabilită prin regulamentul intern.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cazul folosirii variantei în format electronic prevăzute la alin. (4), dovada instruirii trebuie să fie semnată cu semnătură electronică, semnătură electronică avansată sau semnătură electronică calificată.</w:t>
      </w:r>
    </w:p>
    <w:p>
      <w:pPr>
        <w:pStyle w:val="Heading1"/>
        <w:widowControl/>
        <w:numPr>
          <w:ilvl w:val="0"/>
          <w:numId w:val="9"/>
        </w:numPr>
        <w:spacing w:before="120" w:after="60"/>
        <w:jc w:val="left"/>
        <w:rPr>
          <w:rStyle w:val="tal1"/>
          <w:b/>
          <w:sz w:val="18"/>
          <w:szCs w:val="18"/>
          <w:lang w:val="ro-RO"/>
        </w:rPr>
      </w:pPr>
      <w:r>
        <w:rPr>
          <w:rFonts w:eastAsia="Arial" w:cs="Arial" w:ascii="Arial" w:hAnsi="Arial"/>
          <w:b w:val="false"/>
          <w:i/>
          <w:color w:val="auto"/>
          <w:spacing w:val="0"/>
          <w:w w:val="100"/>
          <w:sz w:val="20"/>
          <w:szCs w:val="20"/>
          <w:lang w:val="ro-RO"/>
        </w:rPr>
        <w:t>(Preluare din H.G. 1425/ 2006 – Art. 76, alin. 2)</w:t>
      </w:r>
      <w:r>
        <w:rPr>
          <w:rStyle w:val="tal1"/>
          <w:rFonts w:eastAsia="Arial" w:cs="Arial" w:ascii="Arial" w:hAnsi="Arial"/>
          <w:b/>
          <w:color w:val="auto"/>
          <w:spacing w:val="0"/>
          <w:w w:val="100"/>
          <w:sz w:val="20"/>
          <w:szCs w:val="20"/>
          <w:lang w:val="ro-RO"/>
        </w:rPr>
        <w:t xml:space="preserve"> Perioada în care se desfășoară instruirea lucrătorilor în domeniul securității și sănătății în muncă este considerată timp de muncă.</w:t>
      </w:r>
    </w:p>
    <w:p>
      <w:pPr>
        <w:pStyle w:val="Heading1"/>
        <w:widowControl/>
        <w:numPr>
          <w:ilvl w:val="0"/>
          <w:numId w:val="9"/>
        </w:numPr>
        <w:spacing w:before="120" w:after="60"/>
        <w:jc w:val="left"/>
        <w:rPr>
          <w:rStyle w:val="tpa1"/>
          <w:b/>
          <w:sz w:val="18"/>
          <w:szCs w:val="18"/>
          <w:lang w:val="ro-RO"/>
        </w:rPr>
      </w:pPr>
      <w:r>
        <w:rPr>
          <w:rFonts w:eastAsia="Arial" w:cs="Arial" w:ascii="Arial" w:hAnsi="Arial"/>
          <w:b w:val="false"/>
          <w:i/>
          <w:color w:val="auto"/>
          <w:spacing w:val="0"/>
          <w:w w:val="100"/>
          <w:sz w:val="20"/>
          <w:szCs w:val="20"/>
          <w:lang w:val="ro-RO"/>
        </w:rPr>
        <w:t>(Preluare din H.G. 1425/ 2006 – Art. 75)</w:t>
      </w:r>
      <w:bookmarkStart w:id="11" w:name="do|caV|si1|ar75|pa1"/>
      <w:r>
        <w:rPr>
          <w:rFonts w:eastAsia="Arial" w:cs="Arial" w:ascii="Arial" w:hAnsi="Arial"/>
          <w:b w:val="false"/>
          <w:i/>
          <w:color w:val="auto"/>
          <w:spacing w:val="0"/>
          <w:w w:val="100"/>
          <w:sz w:val="20"/>
          <w:szCs w:val="20"/>
          <w:lang w:val="ro-RO"/>
        </w:rPr>
        <w:t xml:space="preserve"> </w:t>
      </w:r>
      <w:bookmarkEnd w:id="11"/>
      <w:r>
        <w:rPr>
          <w:rStyle w:val="tpa1"/>
          <w:rFonts w:eastAsia="Arial" w:cs="Arial" w:ascii="Arial" w:hAnsi="Arial"/>
          <w:b/>
          <w:color w:val="auto"/>
          <w:spacing w:val="0"/>
          <w:w w:val="100"/>
          <w:sz w:val="20"/>
          <w:szCs w:val="20"/>
          <w:lang w:val="ro-RO"/>
        </w:rPr>
        <w:t>Instruirea lucrătorilor în domeniul securității și sănătății în muncă are ca scop însușirea cunoștințelor și formarea deprinderilor de securitate și sănătate în muncă.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77)</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Instruirea lucrătorilor în domeniul securității și sănătății în muncă cuprinde 3 faze:</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introductiv-generală;</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la locul de muncă;</w:t>
      </w:r>
    </w:p>
    <w:p>
      <w:pPr>
        <w:pStyle w:val="Normal"/>
        <w:widowControl/>
        <w:numPr>
          <w:ilvl w:val="2"/>
          <w:numId w:val="9"/>
        </w:numPr>
        <w:spacing w:before="0" w:after="12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periodică.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81)</w:t>
      </w:r>
      <w:r>
        <w:rPr>
          <w:rFonts w:eastAsia="Arial" w:cs="Arial" w:ascii="Arial" w:hAnsi="Arial"/>
          <w:b w:val="false"/>
          <w:color w:val="auto"/>
          <w:spacing w:val="0"/>
          <w:w w:val="100"/>
          <w:sz w:val="20"/>
          <w:szCs w:val="20"/>
          <w:lang w:val="ro-RO"/>
        </w:rPr>
        <w:t xml:space="preserve"> </w:t>
      </w:r>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Fonts w:eastAsia="Arial" w:cs="Arial" w:ascii="Arial" w:hAnsi="Arial"/>
          <w:b w:val="false"/>
          <w:color w:val="auto"/>
          <w:spacing w:val="0"/>
          <w:w w:val="100"/>
          <w:sz w:val="20"/>
          <w:szCs w:val="20"/>
          <w:lang w:val="ro-RO"/>
        </w:rPr>
        <w:t>R</w:t>
      </w:r>
      <w:r>
        <w:rPr>
          <w:rStyle w:val="tal1"/>
          <w:rFonts w:eastAsia="Arial" w:cs="Arial" w:ascii="Arial" w:hAnsi="Arial"/>
          <w:b/>
          <w:color w:val="auto"/>
          <w:spacing w:val="0"/>
          <w:w w:val="100"/>
          <w:sz w:val="20"/>
          <w:szCs w:val="20"/>
          <w:lang w:val="ro-RO"/>
        </w:rPr>
        <w:t xml:space="preserve">ezultatul instruirii lucrătorilor în domeniul securității și sănătății în muncă se consemnează în mod obligatoriu în fișa de instruire individuală, întocmită pe suport hârtie sau în format electronic, conform informațiilor prevăzute în anexa nr. 11, cu indicarea materialului predat, a duratei și datei instruirii.</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Completarea fișei de instruire individuală se va face în format electronic sau olograf, în funcție de varianta de instruire aleasă, imediat după verificarea instruirii.</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(3</w:t>
      </w:r>
      <w:r>
        <w:rPr>
          <w:rStyle w:val="al1"/>
          <w:rFonts w:eastAsia="Arial" w:cs="Arial" w:ascii="Arial" w:hAnsi="Arial"/>
          <w:color w:val="auto"/>
          <w:spacing w:val="0"/>
          <w:w w:val="100"/>
          <w:sz w:val="20"/>
          <w:szCs w:val="20"/>
          <w:vertAlign w:val="superscript"/>
          <w:lang w:val="ro-RO"/>
        </w:rPr>
        <w:t xml:space="preserve">1</w:t>
      </w:r>
      <w:r>
        <w:rPr>
          <w:rStyle w:val="al1"/>
          <w:rFonts w:eastAsia="Arial" w:cs="Arial" w:ascii="Arial" w:hAnsi="Arial"/>
          <w:color w:val="auto"/>
          <w:spacing w:val="0"/>
          <w:w w:val="100"/>
          <w:sz w:val="20"/>
          <w:szCs w:val="20"/>
          <w:lang w:val="ro-RO"/>
        </w:rPr>
        <w:t xml:space="preserve">)</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funcție de modalitatea stabilită de angajator prin regulamentul intern, fișa de instruire individuală se semnează olograf sau cu semnătură electronică, semnătură electronică avansată sau semnătură electronică calificată.</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(3</w:t>
      </w:r>
      <w:r>
        <w:rPr>
          <w:rStyle w:val="al1"/>
          <w:rFonts w:eastAsia="Arial" w:cs="Arial" w:ascii="Arial" w:hAnsi="Arial"/>
          <w:color w:val="auto"/>
          <w:spacing w:val="0"/>
          <w:w w:val="100"/>
          <w:sz w:val="20"/>
          <w:szCs w:val="20"/>
          <w:vertAlign w:val="superscript"/>
          <w:lang w:val="ro-RO"/>
        </w:rPr>
        <w:t xml:space="preserve">2</w:t>
      </w:r>
      <w:r>
        <w:rPr>
          <w:rStyle w:val="al1"/>
          <w:rFonts w:eastAsia="Arial" w:cs="Arial" w:ascii="Arial" w:hAnsi="Arial"/>
          <w:color w:val="auto"/>
          <w:spacing w:val="0"/>
          <w:w w:val="100"/>
          <w:sz w:val="20"/>
          <w:szCs w:val="20"/>
          <w:lang w:val="ro-RO"/>
        </w:rPr>
        <w:t xml:space="preserve">)</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conformitate cu prevederile art. 17 alin. (3) lit. o) și alin. (4) din Legea nr. 53/2003 - Codul muncii, republicată, cu modificările și completările ulterioare, procedurile privind utilizarea semnăturii electronice, semnăturii electronice avansate sau semnăturii electronice calificate pentru semnarea fișei de instruire individuală se regăsesc în contractul individual de muncă.</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(3</w:t>
      </w:r>
      <w:r>
        <w:rPr>
          <w:rStyle w:val="al1"/>
          <w:rFonts w:eastAsia="Arial" w:cs="Arial" w:ascii="Arial" w:hAnsi="Arial"/>
          <w:color w:val="auto"/>
          <w:spacing w:val="0"/>
          <w:w w:val="100"/>
          <w:sz w:val="20"/>
          <w:szCs w:val="20"/>
          <w:vertAlign w:val="superscript"/>
          <w:lang w:val="ro-RO"/>
        </w:rPr>
        <w:t xml:space="preserve">3</w:t>
      </w:r>
      <w:r>
        <w:rPr>
          <w:rStyle w:val="al1"/>
          <w:rFonts w:eastAsia="Arial" w:cs="Arial" w:ascii="Arial" w:hAnsi="Arial"/>
          <w:color w:val="auto"/>
          <w:spacing w:val="0"/>
          <w:w w:val="100"/>
          <w:sz w:val="20"/>
          <w:szCs w:val="20"/>
          <w:lang w:val="ro-RO"/>
        </w:rPr>
        <w:t xml:space="preserve">)</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Angajatorul are obligația de a asigura trasabilitatea și integritatea materialelor utilizate în cadrul fiecărei instruiri în format electronic a lucrătorului.</w:t>
      </w:r>
    </w:p>
    <w:p>
      <w:pPr>
        <w:pStyle w:val="Normal"/>
        <w:widowControl/>
        <w:spacing w:before="0" w:after="120"/>
        <w:ind w:hanging="0"/>
        <w:jc w:val="left"/>
        <w:rPr>
          <w:rStyle w:val="tal1"/>
          <w:rFonts w:ascii="Arial" w:hAnsi="Arial" w:cs="Arial"/>
          <w:sz w:val="18"/>
          <w:szCs w:val="18"/>
          <w:lang w:val="ro-RO"/>
        </w:rPr>
      </w:pPr>
      <w:r>
        <w:rPr>
          <w:rStyle w:val="al1"/>
          <w:rFonts w:eastAsia="Arial" w:cs="Arial" w:ascii="Arial" w:hAnsi="Arial"/>
          <w:color w:val="auto"/>
          <w:spacing w:val="0"/>
          <w:w w:val="100"/>
          <w:sz w:val="20"/>
          <w:szCs w:val="20"/>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Fișa de instruire individuală va fi păstrată de către conducătorul locului de muncă, pe suport hârtie sau în format electronic, după caz, și va fi însoțită de o copie a ultimei fișe de aptitudini completate de către medicul de medicina muncii.</w:t>
      </w:r>
    </w:p>
    <w:p>
      <w:pPr>
        <w:pStyle w:val="Normal"/>
        <w:widowControl/>
        <w:spacing w:before="0" w:after="120"/>
        <w:ind w:hanging="0"/>
        <w:jc w:val="left"/>
        <w:rPr>
          <w:rStyle w:val="tal1"/>
          <w:rFonts w:ascii="Arial" w:hAnsi="Arial" w:cs="Arial"/>
          <w:sz w:val="18"/>
          <w:szCs w:val="18"/>
          <w:lang w:val="ro-RO"/>
        </w:rPr>
      </w:pPr>
      <w:r>
        <w:rPr>
          <w:rStyle w:val="al1"/>
          <w:rFonts w:eastAsia="Arial" w:cs="Arial" w:ascii="Arial" w:hAnsi="Arial"/>
          <w:color w:val="auto"/>
          <w:spacing w:val="0"/>
          <w:w w:val="100"/>
          <w:sz w:val="20"/>
          <w:szCs w:val="20"/>
          <w:lang w:val="ro-RO"/>
        </w:rPr>
        <w:t xml:space="preserve">(5)</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Fișa de instruire individuală se păstrează în întreprindere/unitate, pe suport hârtie sau în format electronic, după caz, de la angajare până la data încetării raporturilor de muncă.</w:t>
      </w:r>
    </w:p>
    <w:p>
      <w:pPr>
        <w:pStyle w:val="Heading1"/>
        <w:keepNext/>
        <w:widowControl/>
        <w:numPr>
          <w:ilvl w:val="0"/>
          <w:numId w:val="9"/>
        </w:numPr>
        <w:spacing w:before="120" w:after="60"/>
        <w:jc w:val="left"/>
        <w:rPr>
          <w:rStyle w:val="tli1"/>
          <w:b/>
          <w:sz w:val="18"/>
          <w:szCs w:val="18"/>
          <w:lang w:val="ro-RO"/>
        </w:rPr>
      </w:pPr>
      <w:r>
        <w:rPr>
          <w:rFonts w:eastAsia="Arial" w:cs="Arial" w:ascii="Arial" w:hAnsi="Arial"/>
          <w:b w:val="false"/>
          <w:i/>
          <w:color w:val="auto"/>
          <w:spacing w:val="0"/>
          <w:w w:val="100"/>
          <w:sz w:val="20"/>
          <w:szCs w:val="20"/>
          <w:lang w:val="ro-RO"/>
        </w:rPr>
        <w:t>(Conform prevederilor H.G. 1425/ 2006 – Art. 85)</w:t>
      </w:r>
      <w:r>
        <w:rPr>
          <w:rFonts w:eastAsia="Arial" w:cs="Arial" w:ascii="Arial" w:hAnsi="Arial"/>
          <w:b w:val="false"/>
          <w:color w:val="auto"/>
          <w:spacing w:val="0"/>
          <w:w w:val="100"/>
          <w:sz w:val="20"/>
          <w:szCs w:val="20"/>
          <w:lang w:val="ro-RO"/>
        </w:rPr>
        <w:t xml:space="preserve"> I</w:t>
      </w:r>
      <w:r>
        <w:rPr>
          <w:rStyle w:val="tpa1"/>
          <w:rFonts w:eastAsia="Arial" w:cs="Arial" w:ascii="Arial" w:hAnsi="Arial"/>
          <w:b/>
          <w:color w:val="auto"/>
          <w:spacing w:val="0"/>
          <w:w w:val="100"/>
          <w:sz w:val="20"/>
          <w:szCs w:val="20"/>
          <w:lang w:val="ro-RO"/>
        </w:rPr>
        <w:t xml:space="preserve">nstruirea introductiv-generală se face de către specialiștii în domeniul securității și sănătății în muncă din cadrul </w:t>
      </w:r>
      <w:r>
        <w:rPr>
          <w:rStyle w:val="tli1"/>
          <w:rFonts w:eastAsia="Arial" w:cs="Arial" w:ascii="Arial" w:hAnsi="Arial"/>
          <w:b/>
          <w:color w:val="auto"/>
          <w:spacing w:val="0"/>
          <w:w w:val="100"/>
          <w:sz w:val="20"/>
          <w:szCs w:val="20"/>
          <w:lang w:val="ro-RO"/>
        </w:rPr>
        <w:t>serviciului extern de prevenire și protecție, activitate desfășurată prin contractul de prestări servicii sau dacă este posibil, și de către persoanele desemnate în acest sens prin decizie internă și prin fișa postului.</w:t>
      </w:r>
    </w:p>
    <w:p>
      <w:pPr>
        <w:pStyle w:val="Heading1"/>
        <w:keepNext/>
        <w:widowControl/>
        <w:numPr>
          <w:ilvl w:val="0"/>
          <w:numId w:val="9"/>
        </w:numPr>
        <w:spacing w:before="120" w:after="60"/>
        <w:jc w:val="left"/>
        <w:rPr>
          <w:rStyle w:val="tal1"/>
          <w:b/>
          <w:i/>
          <w:sz w:val="18"/>
          <w:szCs w:val="18"/>
          <w:lang w:val="ro-RO"/>
        </w:rPr>
      </w:pPr>
      <w:r>
        <w:rPr>
          <w:rFonts w:eastAsia="Arial" w:cs="Arial" w:ascii="Arial" w:hAnsi="Arial"/>
          <w:b w:val="false"/>
          <w:i/>
          <w:color w:val="auto"/>
          <w:spacing w:val="0"/>
          <w:w w:val="100"/>
          <w:sz w:val="20"/>
          <w:szCs w:val="20"/>
          <w:lang w:val="ro-RO"/>
        </w:rPr>
        <w:t>(Preluare din H.G. 1425/ 2006 – Art. 86)</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I</w:t>
      </w:r>
      <w:r>
        <w:rPr>
          <w:rStyle w:val="tpa1"/>
          <w:rFonts w:eastAsia="Arial" w:cs="Arial" w:ascii="Arial" w:hAnsi="Arial"/>
          <w:b/>
          <w:color w:val="auto"/>
          <w:spacing w:val="0"/>
          <w:w w:val="100"/>
          <w:sz w:val="20"/>
          <w:szCs w:val="20"/>
          <w:lang w:val="ro-RO"/>
        </w:rPr>
        <w:t>nstruirea introductiv-generală se face individual sau în grupuri de cel mult 20 de persoane.</w:t>
      </w:r>
    </w:p>
    <w:p>
      <w:pPr>
        <w:pStyle w:val="Heading1"/>
        <w:keepNext w:val="false"/>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87, alin. (1) și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D</w:t>
      </w:r>
      <w:r>
        <w:rPr>
          <w:rFonts w:eastAsia="Arial" w:cs="Arial" w:ascii="Arial" w:hAnsi="Arial"/>
          <w:b w:val="false"/>
          <w:color w:val="auto"/>
          <w:spacing w:val="0"/>
          <w:w w:val="100"/>
          <w:sz w:val="20"/>
          <w:szCs w:val="20"/>
          <w:lang w:val="ro-RO"/>
        </w:rPr>
        <w:t>urata instruirii introductiv-generale depinde de specificul activității și de riscurile pentru securitate și sănătate în muncă, precum și de măsurile și activitățile de prevenire și protecție la nivelul întreprinderii și/sau al unității, în general.</w:t>
      </w:r>
    </w:p>
    <w:p>
      <w:pPr>
        <w:pStyle w:val="Heading1"/>
        <w:widowControl/>
        <w:numPr>
          <w:ilvl w:val="0"/>
          <w:numId w:val="1"/>
        </w:numPr>
        <w:spacing w:before="0" w:after="120"/>
        <w:ind w:hanging="0" w:left="0"/>
        <w:jc w:val="left"/>
        <w:rPr>
          <w:rStyle w:val="tal1"/>
          <w:rFonts w:cs="Arial"/>
          <w:b/>
          <w:sz w:val="18"/>
          <w:szCs w:val="18"/>
          <w:lang w:val="ro-RO"/>
        </w:rPr>
      </w:pPr>
      <w:r>
        <w:rPr>
          <w:rFonts w:eastAsia="Arial" w:cs="Arial" w:ascii="Arial" w:hAnsi="Arial"/>
          <w:b w:val="false"/>
          <w:i/>
          <w:color w:val="auto"/>
          <w:spacing w:val="0"/>
          <w:w w:val="100"/>
          <w:sz w:val="20"/>
          <w:szCs w:val="20"/>
          <w:shd w:fill="FFFFFF" w:val="clear"/>
          <w:lang w:val="ro-RO"/>
        </w:rPr>
        <w:t>(Preluare din H.G. 767/ 2016)</w:t>
      </w:r>
      <w:r>
        <w:rPr>
          <w:rFonts w:eastAsia="Arial" w:cs="Arial" w:ascii="Arial" w:hAnsi="Arial"/>
          <w:b w:val="false"/>
          <w:color w:val="auto"/>
          <w:spacing w:val="0"/>
          <w:w w:val="100"/>
          <w:sz w:val="20"/>
          <w:szCs w:val="20"/>
          <w:shd w:fill="FFFFFF" w:val="clear"/>
          <w:lang w:val="ro-RO"/>
        </w:rPr>
        <w:t xml:space="preserve"> </w:t>
      </w:r>
      <w:r>
        <w:rPr>
          <w:rFonts w:eastAsia="Arial" w:cs="Arial" w:ascii="Arial" w:hAnsi="Arial"/>
          <w:b w:val="false"/>
          <w:color w:val="auto"/>
          <w:spacing w:val="0"/>
          <w:w w:val="100"/>
          <w:sz w:val="20"/>
          <w:szCs w:val="20"/>
          <w:lang w:val="ro-RO"/>
        </w:rPr>
        <w:t>La articolul 87, alineatul (3) se modifică și va avea următorul cuprins:</w:t>
      </w:r>
      <w:r>
        <w:rPr>
          <w:rFonts w:eastAsia="Arial" w:cs="Arial" w:ascii="Arial" w:hAnsi="Arial"/>
          <w:b w:val="false"/>
          <w:color w:val="auto"/>
          <w:spacing w:val="0"/>
          <w:w w:val="100"/>
          <w:sz w:val="20"/>
          <w:szCs w:val="20"/>
          <w:shd w:fill="FFFFFF" w:val="clear"/>
          <w:lang w:val="ro-RO"/>
        </w:rPr>
        <w:t xml:space="preserve"> Persoanelor prevăzute la art. 82 din HG 1425/ 2006 li se vor prezenta succint activitățile, riscurile și măsurile de prevenire și protecție din întreprindere și/sau unitate.</w:t>
      </w:r>
    </w:p>
    <w:p>
      <w:pPr>
        <w:pStyle w:val="Heading1"/>
        <w:keepNext w:val="false"/>
        <w:widowControl/>
        <w:numPr>
          <w:ilvl w:val="0"/>
          <w:numId w:val="9"/>
        </w:numPr>
        <w:spacing w:before="120" w:after="60"/>
        <w:jc w:val="left"/>
        <w:rPr>
          <w:b w:val="false"/>
          <w:sz w:val="18"/>
          <w:szCs w:val="18"/>
          <w:lang w:val="ro-RO"/>
        </w:rPr>
      </w:pPr>
      <w:r>
        <w:rPr>
          <w:rStyle w:val="tal1"/>
          <w:rFonts w:eastAsia="Arial" w:cs="Arial" w:ascii="Arial" w:hAnsi="Arial"/>
          <w:b/>
          <w:color w:val="auto"/>
          <w:spacing w:val="0"/>
          <w:w w:val="100"/>
          <w:sz w:val="20"/>
          <w:szCs w:val="20"/>
          <w:lang w:val="ro-RO"/>
        </w:rPr>
        <w:t xml:space="preserve">Materialul pentru instruirea introductiv-generală este întocmit de către serviciul extern de prevenire și protecție și aprobat de către angajator </w:t>
      </w:r>
      <w:r>
        <w:rPr>
          <w:rFonts w:eastAsia="Arial" w:cs="Arial" w:ascii="Arial" w:hAnsi="Arial"/>
          <w:b w:val="false"/>
          <w:color w:val="auto"/>
          <w:spacing w:val="0"/>
          <w:w w:val="100"/>
          <w:sz w:val="20"/>
          <w:szCs w:val="20"/>
          <w:lang w:val="ro-RO"/>
        </w:rPr>
        <w:t xml:space="preserve">și are denumirea de « Material de instruire în domeniul securității și sănătății în muncă pentru instruirea introductiv – generală », fiind codificat MISSMIG.</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91)</w:t>
      </w:r>
      <w:r>
        <w:rPr>
          <w:rFonts w:eastAsia="Arial" w:cs="Arial" w:ascii="Arial" w:hAnsi="Arial"/>
          <w:b w:val="false"/>
          <w:color w:val="auto"/>
          <w:spacing w:val="0"/>
          <w:w w:val="100"/>
          <w:sz w:val="20"/>
          <w:szCs w:val="20"/>
          <w:lang w:val="ro-RO"/>
        </w:rPr>
        <w:t xml:space="preserve"> </w:t>
      </w:r>
      <w:bookmarkStart w:id="12" w:name="do|caV|si3|ar91|al1"/>
      <w:bookmarkEnd w:id="12"/>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Instruirea la locul de muncă se face de către conducătorul direct al fiecărui loc de muncă, în grupe de maximum 20 de persoane.</w:t>
      </w:r>
    </w:p>
    <w:p>
      <w:pPr>
        <w:pStyle w:val="Heading1"/>
        <w:widowControl/>
        <w:numPr>
          <w:ilvl w:val="0"/>
          <w:numId w:val="9"/>
        </w:numPr>
        <w:spacing w:before="120" w:after="60"/>
        <w:jc w:val="left"/>
        <w:rPr>
          <w:rStyle w:val="spar"/>
          <w:b/>
          <w:i/>
          <w:sz w:val="18"/>
          <w:szCs w:val="18"/>
          <w:lang w:val="ro-RO"/>
        </w:rPr>
      </w:pPr>
      <w:r>
        <w:rPr>
          <w:rFonts w:eastAsia="Arial" w:cs="Arial" w:ascii="Arial" w:hAnsi="Arial"/>
          <w:b w:val="false"/>
          <w:i/>
          <w:color w:val="auto"/>
          <w:spacing w:val="0"/>
          <w:w w:val="100"/>
          <w:sz w:val="20"/>
          <w:szCs w:val="20"/>
          <w:lang w:val="ro-RO"/>
        </w:rPr>
        <w:t>(Preluare din H.G. 1425/ 2006 – Art. 92 - conf. H.G. 767/ 2016 pct.4)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D</w:t>
      </w:r>
      <w:r>
        <w:rPr>
          <w:rStyle w:val="spar"/>
          <w:rFonts w:eastAsia="Arial" w:cs="Arial" w:ascii="Arial" w:hAnsi="Arial"/>
          <w:b/>
          <w:color w:val="auto"/>
          <w:spacing w:val="0"/>
          <w:w w:val="100"/>
          <w:sz w:val="20"/>
          <w:szCs w:val="20"/>
          <w:shd w:fill="FFFFFF" w:val="clear"/>
          <w:lang w:val="ro-RO"/>
        </w:rPr>
        <w:t>urata instruirii la locul de muncă se stabilește de către angajator, împreună cu: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conducătorul locului de muncă respectiv;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lucrătorul desemnat;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intern de prevenire și protecție;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extern de prevenire și protecție.</w:t>
      </w:r>
    </w:p>
    <w:p>
      <w:pPr>
        <w:pStyle w:val="Heading1"/>
        <w:keepNext/>
        <w:widowControl/>
        <w:numPr>
          <w:ilvl w:val="0"/>
          <w:numId w:val="9"/>
        </w:numPr>
        <w:spacing w:before="120" w:after="60"/>
        <w:jc w:val="left"/>
        <w:rPr>
          <w:b w:val="false"/>
          <w:sz w:val="18"/>
          <w:szCs w:val="18"/>
          <w:lang w:val="ro-RO"/>
        </w:rPr>
      </w:pPr>
      <w:r>
        <w:rPr>
          <w:rStyle w:val="tal1"/>
          <w:rFonts w:eastAsia="Arial" w:cs="Arial" w:ascii="Arial" w:hAnsi="Arial"/>
          <w:b/>
          <w:color w:val="auto"/>
          <w:spacing w:val="0"/>
          <w:w w:val="100"/>
          <w:sz w:val="20"/>
          <w:szCs w:val="20"/>
          <w:lang w:val="ro-RO"/>
        </w:rPr>
        <w:t xml:space="preserve">Materialul pentru instruirea la locul de muncă este întocmit de către serviciul extern de prevenire și protecție și aprobat de către angajator </w:t>
      </w:r>
      <w:r>
        <w:rPr>
          <w:rFonts w:eastAsia="Arial" w:cs="Arial" w:ascii="Arial" w:hAnsi="Arial"/>
          <w:b w:val="false"/>
          <w:color w:val="auto"/>
          <w:spacing w:val="0"/>
          <w:w w:val="100"/>
          <w:sz w:val="20"/>
          <w:szCs w:val="20"/>
          <w:lang w:val="ro-RO"/>
        </w:rPr>
        <w:t xml:space="preserve">și poartă denumirea de « Instrucțiuni proprii în domeniul securității și sănătății în muncă »</w:t>
      </w:r>
      <w:r>
        <w:rPr>
          <w:rFonts w:eastAsia="Arial" w:cs="Arial" w:ascii="Arial" w:hAnsi="Arial"/>
          <w:b w:val="false"/>
          <w:color w:val="auto"/>
          <w:spacing w:val="0"/>
          <w:w w:val="100"/>
          <w:sz w:val="20"/>
          <w:szCs w:val="20"/>
          <w:lang w:val="ro-RO"/>
        </w:rPr>
        <w:t xml:space="preserve">, fiind codificat IPSSM.</w:t>
      </w:r>
    </w:p>
    <w:p>
      <w:pPr>
        <w:pStyle w:val="Heading1"/>
        <w:keepNext w:val="false"/>
        <w:widowControl/>
        <w:numPr>
          <w:ilvl w:val="0"/>
          <w:numId w:val="9"/>
        </w:numPr>
        <w:spacing w:before="120" w:after="60"/>
        <w:jc w:val="left"/>
        <w:rPr>
          <w:rStyle w:val="tal1"/>
          <w:b/>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Fonts w:eastAsia="Arial" w:cs="Arial" w:ascii="Arial" w:hAnsi="Arial"/>
          <w:b w:val="false"/>
          <w:color w:val="auto"/>
          <w:spacing w:val="0"/>
          <w:w w:val="100"/>
          <w:sz w:val="20"/>
          <w:szCs w:val="20"/>
          <w:lang w:val="ro-RO"/>
        </w:rPr>
        <w:t>I</w:t>
      </w:r>
      <w:r>
        <w:rPr>
          <w:rStyle w:val="tal1"/>
          <w:rFonts w:eastAsia="Arial" w:cs="Arial" w:ascii="Arial" w:hAnsi="Arial"/>
          <w:b/>
          <w:color w:val="auto"/>
          <w:spacing w:val="0"/>
          <w:w w:val="100"/>
          <w:sz w:val="20"/>
          <w:szCs w:val="20"/>
          <w:lang w:val="ro-RO"/>
        </w:rPr>
        <w:t>nstruirea periodică se efectuează de către conducătorul locului de muncă.</w:t>
      </w:r>
    </w:p>
    <w:p>
      <w:pPr>
        <w:pStyle w:val="Heading1"/>
        <w:widowControl/>
        <w:numPr>
          <w:ilvl w:val="0"/>
          <w:numId w:val="1"/>
        </w:numPr>
        <w:spacing w:before="0" w:after="120"/>
        <w:ind w:hanging="0" w:left="0"/>
        <w:jc w:val="left"/>
        <w:rPr>
          <w:rStyle w:val="tal1"/>
          <w:b/>
          <w:sz w:val="18"/>
          <w:szCs w:val="18"/>
          <w:shd w:fill="FFFFFF" w:val="clear"/>
        </w:rPr>
      </w:pPr>
      <w:r>
        <w:rPr>
          <w:rFonts w:eastAsia="Arial" w:cs="Arial" w:ascii="Arial" w:hAnsi="Arial"/>
          <w:b w:val="false"/>
          <w:i/>
          <w:color w:val="auto"/>
          <w:spacing w:val="0"/>
          <w:w w:val="100"/>
          <w:sz w:val="20"/>
          <w:szCs w:val="20"/>
          <w:lang w:val="ro-RO"/>
        </w:rPr>
        <w:t>(Preluare din H.G. 767/ 2016, pct.5)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I</w:t>
      </w:r>
      <w:r>
        <w:rPr>
          <w:rFonts w:eastAsia="Arial" w:cs="Arial" w:ascii="Arial" w:hAnsi="Arial"/>
          <w:b w:val="false"/>
          <w:color w:val="auto"/>
          <w:spacing w:val="0"/>
          <w:w w:val="100"/>
          <w:sz w:val="20"/>
          <w:szCs w:val="20"/>
          <w:shd w:fill="FFFFFF" w:val="clear"/>
          <w:lang w:val="ro-RO"/>
        </w:rPr>
        <w:t>ntervalul dintre două instruiri periodice și periodicitatea verificării instruirii vor fi stabilite prin programul de instruire-testare elaborat la nivelul întreprinderii și/sau unității potrivit prevederilor art. 15 alin. (1) pct. 8, în funcție de condițiile locului de muncă și/sau postului de lucru.</w:t>
      </w:r>
    </w:p>
    <w:p>
      <w:pPr>
        <w:pStyle w:val="Heading1"/>
        <w:widowControl/>
        <w:numPr>
          <w:ilvl w:val="0"/>
          <w:numId w:val="9"/>
        </w:numPr>
        <w:spacing w:before="120" w:after="60"/>
        <w:jc w:val="left"/>
        <w:rPr>
          <w:b w:val="false"/>
          <w:i/>
          <w:sz w:val="18"/>
          <w:szCs w:val="18"/>
          <w:lang w:val="ro-RO"/>
        </w:rPr>
      </w:pPr>
      <w:r>
        <w:rPr>
          <w:rStyle w:val="tal1"/>
          <w:rFonts w:eastAsia="Arial" w:cs="Arial" w:ascii="Arial" w:hAnsi="Arial"/>
          <w:b/>
          <w:color w:val="auto"/>
          <w:spacing w:val="0"/>
          <w:w w:val="100"/>
          <w:sz w:val="20"/>
          <w:szCs w:val="20"/>
          <w:lang w:val="ro-RO"/>
        </w:rPr>
        <w:t>Instruirea la locul de muncă se va efectua pe baza tematicilor întocmite de către serviciul extern de prevenire și protecție și aprobate de către angajator, care vor fi păstrate la persoana care efectuează instruirea.</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98)</w:t>
      </w:r>
      <w:r>
        <w:rPr>
          <w:rFonts w:eastAsia="Arial" w:cs="Arial" w:ascii="Arial" w:hAnsi="Arial"/>
          <w:b w:val="false"/>
          <w:color w:val="auto"/>
          <w:spacing w:val="0"/>
          <w:w w:val="100"/>
          <w:sz w:val="20"/>
          <w:szCs w:val="20"/>
          <w:lang w:val="ro-RO"/>
        </w:rPr>
        <w:t xml:space="preserve"> I</w:t>
      </w:r>
      <w:r>
        <w:rPr>
          <w:rStyle w:val="tpa1"/>
          <w:rFonts w:eastAsia="Arial" w:cs="Arial" w:ascii="Arial" w:hAnsi="Arial"/>
          <w:b/>
          <w:color w:val="auto"/>
          <w:spacing w:val="0"/>
          <w:w w:val="100"/>
          <w:sz w:val="20"/>
          <w:szCs w:val="20"/>
          <w:lang w:val="ro-RO"/>
        </w:rPr>
        <w:t>nstruirea periodică se face suplimentar celei programate în următoarele cazuri:</w:t>
      </w:r>
    </w:p>
    <w:p>
      <w:pPr>
        <w:pStyle w:val="Normal"/>
        <w:widowControl/>
        <w:numPr>
          <w:ilvl w:val="2"/>
          <w:numId w:val="9"/>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când un lucrător a lipsit peste 30 de zile lucrătoare;</w:t>
      </w:r>
    </w:p>
    <w:p>
      <w:pPr>
        <w:pStyle w:val="Normal"/>
        <w:widowControl/>
        <w:numPr>
          <w:ilvl w:val="2"/>
          <w:numId w:val="9"/>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color w:val="auto"/>
          <w:spacing w:val="0"/>
          <w:w w:val="100"/>
          <w:sz w:val="20"/>
          <w:szCs w:val="20"/>
          <w:lang w:val="ro-RO"/>
        </w:rPr>
        <w:t>la reluarea activității după accident de muncă;</w:t>
      </w:r>
    </w:p>
    <w:p>
      <w:pPr>
        <w:pStyle w:val="Normal"/>
        <w:widowControl/>
        <w:numPr>
          <w:ilvl w:val="2"/>
          <w:numId w:val="9"/>
        </w:numPr>
        <w:spacing w:before="0" w:after="40"/>
        <w:jc w:val="left"/>
        <w:rPr>
          <w:rFonts w:ascii="Arial" w:hAnsi="Arial" w:cs="Arial"/>
          <w:sz w:val="18"/>
          <w:szCs w:val="18"/>
        </w:rPr>
      </w:pPr>
      <w:r>
        <w:rPr>
          <w:rStyle w:val="tli1"/>
          <w:rFonts w:eastAsia="Arial" w:cs="Arial" w:ascii="Arial" w:hAnsi="Arial"/>
          <w:color w:val="auto"/>
          <w:spacing w:val="0"/>
          <w:w w:val="100"/>
          <w:sz w:val="20"/>
          <w:szCs w:val="20"/>
          <w:lang w:val="ro-RO"/>
        </w:rPr>
        <w:t>la executarea unor lucrări speciale;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color w:val="auto"/>
          <w:spacing w:val="0"/>
          <w:w w:val="100"/>
          <w:sz w:val="20"/>
          <w:szCs w:val="20"/>
          <w:lang w:val="ro-RO"/>
        </w:rPr>
        <w:t>la introducerea unui echipament de muncă sau a unor modificări ale echipamentului existent;</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la modificarea tehnologiilor existente sau procedurilor de lucru;</w:t>
      </w:r>
    </w:p>
    <w:p>
      <w:pPr>
        <w:pStyle w:val="Normal"/>
        <w:widowControl/>
        <w:numPr>
          <w:ilvl w:val="2"/>
          <w:numId w:val="9"/>
        </w:numPr>
        <w:spacing w:before="0" w:after="120"/>
        <w:jc w:val="left"/>
        <w:rPr>
          <w:rFonts w:ascii="Arial" w:hAnsi="Arial" w:cs="Arial"/>
          <w:sz w:val="18"/>
          <w:szCs w:val="18"/>
          <w:lang w:val="it-IT"/>
        </w:rPr>
      </w:pPr>
      <w:r>
        <w:rPr>
          <w:rStyle w:val="tli1"/>
          <w:rFonts w:eastAsia="Arial" w:cs="Arial" w:ascii="Arial" w:hAnsi="Arial"/>
          <w:color w:val="auto"/>
          <w:spacing w:val="0"/>
          <w:w w:val="100"/>
          <w:sz w:val="20"/>
          <w:szCs w:val="20"/>
          <w:lang w:val="ro-RO"/>
        </w:rPr>
        <w:t>la introducerea oricărei noi tehnologii sau a unor proceduri de lucru.</w:t>
      </w:r>
    </w:p>
    <w:p>
      <w:pPr>
        <w:pStyle w:val="Heading1"/>
        <w:widowControl/>
        <w:numPr>
          <w:ilvl w:val="0"/>
          <w:numId w:val="9"/>
        </w:numPr>
        <w:spacing w:before="120" w:after="60"/>
        <w:jc w:val="left"/>
        <w:rPr>
          <w:rStyle w:val="spar"/>
          <w:b/>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 – conf. H.G. 767/ 2016, pct. 6)</w:t>
      </w:r>
      <w:r>
        <w:rPr>
          <w:rFonts w:eastAsia="Arial" w:cs="Arial" w:ascii="Arial" w:hAnsi="Arial"/>
          <w:b w:val="false"/>
          <w:color w:val="auto"/>
          <w:spacing w:val="0"/>
          <w:w w:val="100"/>
          <w:sz w:val="20"/>
          <w:szCs w:val="20"/>
          <w:lang w:val="ro-RO"/>
        </w:rPr>
        <w:t xml:space="preserve"> D</w:t>
      </w:r>
      <w:r>
        <w:rPr>
          <w:rStyle w:val="spar"/>
          <w:rFonts w:eastAsia="Arial" w:cs="Arial" w:ascii="Arial" w:hAnsi="Arial"/>
          <w:b/>
          <w:color w:val="auto"/>
          <w:spacing w:val="0"/>
          <w:w w:val="100"/>
          <w:sz w:val="20"/>
          <w:szCs w:val="20"/>
          <w:shd w:fill="FFFFFF" w:val="clear"/>
          <w:lang w:val="ro-RO"/>
        </w:rPr>
        <w:t>urata instruirii periodice prevăzute la art. 98 se stabilește de către angajator, împreună cu: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conducătorul locului de muncă respectiv;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lucrătorul desemnat;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intern de prevenire și protecție;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extern de prevenire și protecție.</w:t>
      </w:r>
    </w:p>
    <w:p>
      <w:pPr>
        <w:pStyle w:val="Heading1"/>
        <w:widowControl/>
        <w:numPr>
          <w:ilvl w:val="0"/>
          <w:numId w:val="9"/>
        </w:numPr>
        <w:spacing w:before="120" w:after="60"/>
        <w:jc w:val="left"/>
        <w:rPr>
          <w:rStyle w:val="tpa1"/>
          <w:b/>
          <w:sz w:val="18"/>
          <w:szCs w:val="18"/>
          <w:lang w:val="ro-RO"/>
        </w:rPr>
      </w:pPr>
      <w:r>
        <w:rPr>
          <w:rFonts w:eastAsia="Arial" w:cs="Arial" w:ascii="Arial" w:hAnsi="Arial"/>
          <w:b w:val="false"/>
          <w:i/>
          <w:color w:val="auto"/>
          <w:spacing w:val="0"/>
          <w:w w:val="100"/>
          <w:sz w:val="20"/>
          <w:szCs w:val="20"/>
          <w:lang w:val="ro-RO"/>
        </w:rPr>
        <w:t>(Preluare din H.G. 1425/ 2006, Art. 100)</w:t>
      </w:r>
      <w:r>
        <w:rPr>
          <w:rFonts w:eastAsia="Arial" w:cs="Arial" w:ascii="Arial" w:hAnsi="Arial"/>
          <w:b w:val="false"/>
          <w:color w:val="auto"/>
          <w:spacing w:val="0"/>
          <w:w w:val="100"/>
          <w:sz w:val="20"/>
          <w:szCs w:val="20"/>
          <w:lang w:val="ro-RO"/>
        </w:rPr>
        <w:t xml:space="preserve"> I</w:t>
      </w:r>
      <w:r>
        <w:rPr>
          <w:rStyle w:val="tpa1"/>
          <w:rFonts w:eastAsia="Arial" w:cs="Arial" w:ascii="Arial" w:hAnsi="Arial"/>
          <w:b/>
          <w:color w:val="auto"/>
          <w:spacing w:val="0"/>
          <w:w w:val="100"/>
          <w:sz w:val="20"/>
          <w:szCs w:val="20"/>
          <w:lang w:val="ro-RO"/>
        </w:rPr>
        <w:t xml:space="preserve">nstruirea periodică suplimentară se va efectua pe baza tematicilor </w:t>
      </w:r>
      <w:r>
        <w:rPr>
          <w:rStyle w:val="tal1"/>
          <w:rFonts w:eastAsia="Arial" w:cs="Arial" w:ascii="Arial" w:hAnsi="Arial"/>
          <w:b/>
          <w:color w:val="auto"/>
          <w:spacing w:val="0"/>
          <w:w w:val="100"/>
          <w:sz w:val="20"/>
          <w:szCs w:val="20"/>
          <w:lang w:val="ro-RO"/>
        </w:rPr>
        <w:t>întocmite de către serviciul extern de prevenire și protecție și aprobate de către angajator</w:t>
      </w:r>
      <w:r>
        <w:rPr>
          <w:rStyle w:val="tpa1"/>
          <w:rFonts w:eastAsia="Arial" w:cs="Arial" w:ascii="Arial" w:hAnsi="Arial"/>
          <w:b/>
          <w:color w:val="auto"/>
          <w:spacing w:val="0"/>
          <w:w w:val="100"/>
          <w:sz w:val="20"/>
          <w:szCs w:val="20"/>
          <w:lang w:val="ro-RO"/>
        </w:rPr>
        <w:t xml:space="preserve"> care vor fi păstrate la persoana care efectuează instruirea.</w:t>
      </w:r>
    </w:p>
    <w:p>
      <w:pPr>
        <w:pStyle w:val="Heading1"/>
        <w:widowControl/>
        <w:numPr>
          <w:ilvl w:val="0"/>
          <w:numId w:val="9"/>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 xml:space="preserve">Ținând cont că instruirea în domeniul securității și sănătății în muncă cuprinde 3 (trei) faze, instruirea introductiv-generală, instruirea la locul de muncă și instruirea periodică, va fi întocmită o « </w:t>
      </w:r>
      <w:r>
        <w:rPr>
          <w:rStyle w:val="tpt1"/>
          <w:rFonts w:eastAsia="Arial" w:cs="Arial" w:ascii="Arial" w:hAnsi="Arial"/>
          <w:b/>
          <w:color w:val="auto"/>
          <w:spacing w:val="0"/>
          <w:w w:val="100"/>
          <w:sz w:val="20"/>
          <w:szCs w:val="20"/>
          <w:lang w:val="ro-RO"/>
        </w:rPr>
        <w:t>Tematica de instruire pentru toate fazele de instruire și programul de instruire – testare la nivelul unității în domeniul securității și sănătății în muncă</w:t>
      </w:r>
      <w:r>
        <w:rPr>
          <w:rFonts w:eastAsia="Arial" w:cs="Arial" w:ascii="Arial" w:hAnsi="Arial"/>
          <w:b w:val="false"/>
          <w:color w:val="auto"/>
          <w:spacing w:val="0"/>
          <w:w w:val="100"/>
          <w:sz w:val="20"/>
          <w:szCs w:val="20"/>
          <w:lang w:val="ro-RO"/>
        </w:rPr>
        <w:t xml:space="preserve"> », fiind codificată TISSM.</w:t>
      </w:r>
    </w:p>
    <w:p>
      <w:pPr>
        <w:pStyle w:val="Normal"/>
        <w:widowControl/>
        <w:numPr>
          <w:ilvl w:val="0"/>
          <w:numId w:val="9"/>
        </w:numPr>
        <w:spacing w:before="120" w:after="6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Diferențierea pentru locurile de muncă respectiv posturile de lucru va fi efectuată </w:t>
      </w:r>
      <w:r>
        <w:rPr>
          <w:rFonts w:eastAsia="Arial" w:cs="Arial" w:ascii="Arial" w:hAnsi="Arial"/>
          <w:color w:val="auto"/>
          <w:spacing w:val="0"/>
          <w:w w:val="100"/>
          <w:sz w:val="20"/>
          <w:szCs w:val="20"/>
          <w:lang w:val="ro-RO"/>
        </w:rPr>
        <w:t xml:space="preserve">în funcție de sarcinile de muncă desfășurate de executanți și va reieși din articolele prevăzute și specificate în tematica de instruire, articole din MISSMIG și IPSSM.</w:t>
      </w:r>
    </w:p>
    <w:p>
      <w:pPr>
        <w:pStyle w:val="Heading2"/>
        <w:keepNext w:val="true"/>
        <w:widowControl/>
        <w:numPr>
          <w:ilvl w:val="1"/>
          <w:numId w:val="1"/>
        </w:numPr>
        <w:tabs>
          <w:tab w:val="clear" w:pos="504"/>
        </w:tabs>
        <w:spacing w:before="240" w:after="120"/>
        <w:ind w:hanging="0" w:left="0" w:right="0"/>
        <w:jc w:val="center"/>
        <w:rPr>
          <w:rFonts w:ascii="Arial" w:hAnsi="Arial" w:cs="Arial"/>
          <w:sz w:val="18"/>
          <w:szCs w:val="18"/>
          <w:lang w:val="it-CH"/>
        </w:rPr>
      </w:pPr>
      <w:r>
        <w:rPr>
          <w:rFonts w:eastAsia="Arial" w:cs="Arial" w:ascii="Arial" w:hAnsi="Arial"/>
          <w:b/>
          <w:color w:val="auto"/>
          <w:spacing w:val="0"/>
          <w:w w:val="100"/>
          <w:sz w:val="20"/>
          <w:szCs w:val="20"/>
          <w:lang w:val="ro-RO"/>
        </w:rPr>
        <w:t>Capitolul VI. Informații cu privire la comitetul de securitate și sănătate în muncă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Art. 57)</w:t>
      </w:r>
      <w:r>
        <w:rPr>
          <w:rFonts w:eastAsia="Arial" w:cs="Arial" w:ascii="Arial" w:hAnsi="Arial"/>
          <w:b w:val="false"/>
          <w:color w:val="auto"/>
          <w:spacing w:val="0"/>
          <w:w w:val="100"/>
          <w:sz w:val="20"/>
          <w:szCs w:val="20"/>
          <w:lang w:val="ro-RO"/>
        </w:rPr>
        <w:t xml:space="preserve"> </w:t>
      </w:r>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Comitetul de securitate și sănătate în muncă se constituie în unitățile care au un număr de cel puțin 50 de lucrători, inclusiv cu capital străin, care desfășoară activități pe teritoriul României.</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Inspectorul de muncă poate impune constituirea comitetului de securitate și sănătate în muncă în unitățile cu un număr mai mic de 50 de lucrători în funcție de natura activității și de riscurile identificate.</w:t>
      </w:r>
    </w:p>
    <w:p>
      <w:pPr>
        <w:pStyle w:val="Normal"/>
        <w:widowControl/>
        <w:spacing w:before="0" w:after="120"/>
        <w:ind w:hanging="0"/>
        <w:jc w:val="left"/>
        <w:rPr>
          <w:rFonts w:ascii="Arial" w:hAnsi="Arial" w:cs="Arial"/>
          <w:sz w:val="18"/>
          <w:szCs w:val="18"/>
          <w:lang w:val="fr-FR"/>
        </w:rPr>
      </w:pPr>
      <w:r>
        <w:rPr>
          <w:rFonts w:eastAsia="Arial" w:cs="Arial" w:ascii="Arial" w:hAnsi="Arial"/>
          <w:b/>
          <w:bCs/>
          <w:color w:val="auto"/>
          <w:spacing w:val="0"/>
          <w:w w:val="100"/>
          <w:sz w:val="20"/>
          <w:szCs w:val="20"/>
          <w:lang w:val="ro-RO"/>
        </w:rPr>
        <w:t>(</w:t>
      </w: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cazul în care activitatea se desfășoară în unități dispersate teritorial, se pot înființa mai multe comitete de securitate și sănătate în muncă; numărul acestora se stabilește prin contractul colectiv de muncă aplicabil sau prin regulamentul intern ori regulamentul de organizare și funcționare.</w:t>
      </w:r>
    </w:p>
    <w:p>
      <w:pPr>
        <w:pStyle w:val="Normal"/>
        <w:widowControl/>
        <w:spacing w:before="0" w:after="120"/>
        <w:ind w:hanging="0"/>
        <w:jc w:val="left"/>
        <w:rPr>
          <w:rFonts w:ascii="Arial" w:hAnsi="Arial" w:cs="Arial"/>
          <w:sz w:val="18"/>
          <w:szCs w:val="18"/>
          <w:lang w:val="fr-FR"/>
        </w:rPr>
      </w:pPr>
      <w:r>
        <w:rPr>
          <w:rFonts w:eastAsia="Arial" w:cs="Arial" w:ascii="Arial" w:hAnsi="Arial"/>
          <w:b/>
          <w:bCs/>
          <w:color w:val="auto"/>
          <w:spacing w:val="0"/>
          <w:w w:val="100"/>
          <w:sz w:val="20"/>
          <w:szCs w:val="20"/>
          <w:lang w:val="ro-RO"/>
        </w:rPr>
        <w:t>(</w:t>
      </w:r>
      <w:r>
        <w:rPr>
          <w:rStyle w:val="al1"/>
          <w:rFonts w:eastAsia="Arial" w:cs="Arial" w:ascii="Arial" w:hAnsi="Arial"/>
          <w:color w:val="auto"/>
          <w:spacing w:val="0"/>
          <w:w w:val="100"/>
          <w:sz w:val="20"/>
          <w:szCs w:val="20"/>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Comitetul de securitate și sănătate în muncă se constituie și în cazul activităților care se desfășoară temporar, respectiv cu o durată mai mare de 3 luni.</w:t>
      </w:r>
    </w:p>
    <w:p>
      <w:pPr>
        <w:pStyle w:val="Normal"/>
        <w:widowControl/>
        <w:spacing w:before="0" w:after="120"/>
        <w:ind w:hanging="0"/>
        <w:jc w:val="left"/>
        <w:rPr>
          <w:rFonts w:ascii="Verdana" w:hAnsi="Verdana" w:cs="Verdana"/>
          <w:lang w:val="fr-FR"/>
        </w:rPr>
      </w:pPr>
      <w:r>
        <w:rPr>
          <w:rStyle w:val="al1"/>
          <w:rFonts w:eastAsia="Arial" w:cs="Arial" w:ascii="Arial" w:hAnsi="Arial"/>
          <w:color w:val="auto"/>
          <w:spacing w:val="0"/>
          <w:w w:val="100"/>
          <w:sz w:val="20"/>
          <w:szCs w:val="20"/>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unitățile care au mai puțin de 50 de lucrători, unde nu s-a constituit comitet de securitate și sănătate în muncă, atribuțiile acestuia revin reprezentanților lucrătorilor cu răspunderi specifice în domeniul securității și sănătății lucrătorilor.</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Art. 65)</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Comitetul de securitate și sănătate în muncă funcționează în baza regulamentului de funcționare propriu.</w:t>
      </w:r>
    </w:p>
    <w:p>
      <w:pPr>
        <w:pStyle w:val="Heading2"/>
        <w:keepNext w:val="true"/>
        <w:widowControl/>
        <w:numPr>
          <w:ilvl w:val="1"/>
          <w:numId w:val="1"/>
        </w:numPr>
        <w:tabs>
          <w:tab w:val="clear" w:pos="504"/>
        </w:tabs>
        <w:spacing w:before="240" w:after="120"/>
        <w:ind w:hanging="0" w:left="0" w:right="0"/>
        <w:jc w:val="center"/>
        <w:rPr>
          <w:rFonts w:ascii="Arial" w:hAnsi="Arial" w:cs="Arial"/>
          <w:sz w:val="18"/>
          <w:szCs w:val="18"/>
          <w:lang w:val="it-CH"/>
        </w:rPr>
      </w:pPr>
      <w:r>
        <w:rPr>
          <w:rFonts w:eastAsia="Arial" w:cs="Arial" w:ascii="Arial" w:hAnsi="Arial"/>
          <w:b/>
          <w:color w:val="auto"/>
          <w:spacing w:val="0"/>
          <w:w w:val="100"/>
          <w:sz w:val="20"/>
          <w:szCs w:val="20"/>
          <w:lang w:val="ro-RO"/>
        </w:rPr>
        <w:t xml:space="preserve">Capitolul VII. Comunicarea, cercetarea, înregistrarea și raportarea evenimentelor, accidentelor de muncă și bolilor profesionale</w:t>
      </w:r>
    </w:p>
    <w:p>
      <w:pPr>
        <w:pStyle w:val="Heading1"/>
        <w:widowControl/>
        <w:numPr>
          <w:ilvl w:val="0"/>
          <w:numId w:val="9"/>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12, alin. (1), punctul c, d)</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următoarele obligații:</w:t>
      </w:r>
    </w:p>
    <w:p>
      <w:pPr>
        <w:pStyle w:val="Normal"/>
        <w:widowControl/>
        <w:numPr>
          <w:ilvl w:val="0"/>
          <w:numId w:val="22"/>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p>
    <w:p>
      <w:pPr>
        <w:pStyle w:val="Normal"/>
        <w:widowControl/>
        <w:numPr>
          <w:ilvl w:val="0"/>
          <w:numId w:val="2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Art. 5, lit. g)</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sensul Legii 319/ 2006, termenul de </w:t>
      </w:r>
      <w:r>
        <w:rPr>
          <w:rFonts w:eastAsia="Arial" w:cs="Arial" w:ascii="Arial" w:hAnsi="Arial"/>
          <w:i/>
          <w:color w:val="auto"/>
          <w:spacing w:val="0"/>
          <w:w w:val="100"/>
          <w:sz w:val="20"/>
          <w:szCs w:val="20"/>
          <w:lang w:val="ro-RO"/>
        </w:rPr>
        <w:t xml:space="preserve">accident de muncă </w:t>
      </w:r>
      <w:r>
        <w:rPr>
          <w:rFonts w:eastAsia="Arial" w:cs="Arial" w:ascii="Arial" w:hAnsi="Arial"/>
          <w:color w:val="auto"/>
          <w:spacing w:val="0"/>
          <w:w w:val="100"/>
          <w:sz w:val="20"/>
          <w:szCs w:val="20"/>
          <w:lang w:val="ro-RO"/>
        </w:rPr>
        <w:t xml:space="preserve">are următorul înțeles: vătămarea violentă a organismului, precum și intoxicația acută profesională, care au loc în timpul procesului de muncă sau în îndeplinirea îndatoririlor de serviciu și care provoacă incapacitate temporară de muncă de cel puțin 3 zile calendaristice, invaliditate ori deces.</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Art. 5, lit. h) În sensul Legii 319/ 2006, termenul de boală profesională</w:t>
      </w:r>
      <w:r>
        <w:rPr>
          <w:rStyle w:val="tal1"/>
          <w:rFonts w:eastAsia="Arial" w:cs="Arial" w:ascii="Arial" w:hAnsi="Arial"/>
          <w:color w:val="auto"/>
          <w:spacing w:val="0"/>
          <w:w w:val="100"/>
          <w:sz w:val="20"/>
          <w:szCs w:val="20"/>
          <w:lang w:val="ro-RO"/>
        </w:rPr>
        <w:t xml:space="preserve"/>
      </w:r>
      <w:r>
        <w:rPr>
          <w:rFonts w:eastAsia="Arial" w:cs="Arial" w:ascii="Arial" w:hAnsi="Arial"/>
          <w:color w:val="auto"/>
          <w:spacing w:val="0"/>
          <w:w w:val="100"/>
          <w:sz w:val="20"/>
          <w:szCs w:val="20"/>
          <w:lang w:val="ro-RO"/>
        </w:rPr>
        <w:t xml:space="preserve"/>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are următorul înțeles: afecțiunea care se produce ca urmare a exercitării unei meserii sau profesii, cauzată de agenți nocivi fizici, chimici ori biologici caracteristici locului de muncă, precum și de suprasolicitarea diferitelor organe sau sisteme ale organismului, în procesul de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26)</w:t>
      </w:r>
      <w:r>
        <w:rPr>
          <w:rFonts w:eastAsia="Arial" w:cs="Arial" w:ascii="Arial" w:hAnsi="Arial"/>
          <w:b w:val="false"/>
          <w:color w:val="auto"/>
          <w:spacing w:val="0"/>
          <w:w w:val="100"/>
          <w:sz w:val="20"/>
          <w:szCs w:val="20"/>
          <w:lang w:val="ro-RO"/>
        </w:rPr>
        <w:t xml:space="preserve"> Orice eveniment va fi comunicat de îndată angajatorului, de către conducătorul locului de muncă sau de orice altă persoană care are cunoștință despre producerea acestuia.</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27)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să comunice evenimentele, de îndată, după cum urmează:</w:t>
      </w:r>
    </w:p>
    <w:p>
      <w:pPr>
        <w:pStyle w:val="Normal"/>
        <w:widowControl/>
        <w:numPr>
          <w:ilvl w:val="0"/>
          <w:numId w:val="38"/>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inspectoratelor teritoriale de muncă, toate evenimentele așa cum sunt definite la art. 5 lit. f) din Legea 319/ 2006;</w:t>
      </w:r>
    </w:p>
    <w:p>
      <w:pPr>
        <w:pStyle w:val="Normal"/>
        <w:widowControl/>
        <w:numPr>
          <w:ilvl w:val="0"/>
          <w:numId w:val="38"/>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asigurătorului, potrivit </w:t>
      </w:r>
      <w:r>
        <w:rPr>
          <w:rFonts w:eastAsia="Arial" w:cs="Arial" w:ascii="Arial" w:hAnsi="Arial"/>
          <w:vanish/>
          <w:color w:val="auto"/>
          <w:spacing w:val="0"/>
          <w:w w:val="100"/>
          <w:sz w:val="20"/>
          <w:szCs w:val="20"/>
          <w:lang w:val="ro-RO"/>
        </w:rPr>
        <w:t>&lt;LLNK 12002 346 10 201 0 18&gt;</w:t>
      </w:r>
      <w:r>
        <w:rPr>
          <w:rFonts w:eastAsia="Arial" w:cs="Arial" w:ascii="Arial" w:hAnsi="Arial"/>
          <w:color w:val="auto"/>
          <w:spacing w:val="0"/>
          <w:w w:val="100"/>
          <w:sz w:val="20"/>
          <w:szCs w:val="20"/>
          <w:lang w:val="ro-RO"/>
        </w:rPr>
        <w:t>Legii nr. 346/ 2002 privind asigurarea pentru accidente de muncă și boli profesionale, cu modificările și completările ulterioare, evenimentele urmate de incapacitate temporară de muncă, invaliditate sau deces, la confirmarea acestora;</w:t>
      </w:r>
    </w:p>
    <w:p>
      <w:pPr>
        <w:pStyle w:val="Normal"/>
        <w:widowControl/>
        <w:numPr>
          <w:ilvl w:val="0"/>
          <w:numId w:val="38"/>
        </w:numPr>
        <w:spacing w:before="0" w:after="120"/>
        <w:ind w:right="0"/>
        <w:jc w:val="left"/>
        <w:rPr>
          <w:rFonts w:ascii="Arial" w:hAnsi="Arial" w:cs="Arial"/>
          <w:sz w:val="18"/>
          <w:szCs w:val="18"/>
          <w:lang w:val="ro-RO"/>
        </w:rPr>
      </w:pPr>
      <w:r>
        <w:rPr>
          <w:rFonts w:eastAsia="Arial" w:cs="Arial" w:ascii="Arial" w:hAnsi="Arial"/>
          <w:color w:val="auto"/>
          <w:spacing w:val="0"/>
          <w:w w:val="100"/>
          <w:sz w:val="20"/>
          <w:szCs w:val="20"/>
          <w:lang w:val="ro-RO"/>
        </w:rPr>
        <w:t>organelor de urmărire penală,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Orice medic, inclusiv medicul de medicina muncii aflat într-o relație contractuală cu angajatorul, conform prevederilor legale, va semnala obligatoriu suspiciunea de boală profesională sau legată de profesiune, depistată cu prilejul prestațiilor medicale.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Semnalarea prevăzută la art. 27, alin. (2) din Legea 319/ 2006 se efectuează către autoritatea de sănătate publică teritorială sau a municipiului București, de îndată, la constatarea cazului.</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28)</w:t>
      </w:r>
      <w:r>
        <w:rPr>
          <w:rFonts w:eastAsia="Arial" w:cs="Arial" w:ascii="Arial" w:hAnsi="Arial"/>
          <w:b w:val="false"/>
          <w:color w:val="auto"/>
          <w:spacing w:val="0"/>
          <w:w w:val="100"/>
          <w:sz w:val="20"/>
          <w:szCs w:val="20"/>
          <w:lang w:val="ro-RO"/>
        </w:rPr>
        <w:t xml:space="preserve"> În cazul accidentelor de circulație produse pe drumurile publice, în care printre victime sunt și persoane aflate în îndeplinirea unor sarcini de serviciu, organele de poliție rutieră competente vor trimite instituțiilor și/ sau persoanelor fizice/ juridice prevăzute la art. 29 alin. (1) lit. a) și b) din Legea 319/ 2006, în termen de 5 zile de la data solicitării, un exemplar al procesului-verbal de cercetare la fața locului.</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29)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Cercetarea evenimentelor este obligatorie și se efectuează după cum urmează:</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angajator, în cazul evenimentelor care au produs incapacitate temporară de muncă;</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inspectoratele teritoriale de muncă, în cazul evenimentelor care au produs invaliditate evidentă sau confirmată, deces, accidente colective, incidente periculoase, în cazul evenimentelor care au produs incapacitate temporară de muncă lucrătorilor la angajatorii persoane fizice, precum și în situațiile cu persoane date dispărute;</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Inspecția Muncii, în cazul accidentelor colective, generate de unele evenimente deosebite, precum avariile sau exploziile;</w:t>
      </w:r>
    </w:p>
    <w:p>
      <w:pPr>
        <w:pStyle w:val="Normal"/>
        <w:widowControl/>
        <w:numPr>
          <w:ilvl w:val="0"/>
          <w:numId w:val="3"/>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de către autoritățile de sănătate publică teritoriale, respectiv a municipiului București, în cazul suspiciunilor de boală profesională și a bolilor legate de profesiune.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Rezultatul cercetării evenimentului se va consemna într-un proces-verbal.</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caz de deces al persoanei accidentate ca urmare a unui eveniment, instituția medico-legală competentă este obligată să înainteze inspectoratului teritorial de muncă, în termen de 7 zile de la data decesului, o copie a raportului de constatare medico-legală.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sensul prevederilor art. 5 lit. g) din Legea 319/ 2006, este, de asemenea, accident de muncă:</w:t>
      </w:r>
    </w:p>
    <w:p>
      <w:pPr>
        <w:pStyle w:val="Normal"/>
        <w:widowControl/>
        <w:numPr>
          <w:ilvl w:val="0"/>
          <w:numId w:val="46"/>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accidentul suferit de persoane aflate în vizită în întreprindere și/sau unitate, cu permisiunea angajatorului;</w:t>
      </w:r>
    </w:p>
    <w:p>
      <w:pPr>
        <w:pStyle w:val="Normal"/>
        <w:widowControl/>
        <w:numPr>
          <w:ilvl w:val="0"/>
          <w:numId w:val="46"/>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accidentul suferit de persoanele care îndeplinesc sarcini de stat sau de interes public, inclusiv în cadrul unor activități culturale, sportive, în țară sau în afara granițelor țării, în timpul și din cauza îndeplinirii acestor sarcini;</w:t>
      </w:r>
    </w:p>
    <w:p>
      <w:pPr>
        <w:pStyle w:val="Normal"/>
        <w:widowControl/>
        <w:numPr>
          <w:ilvl w:val="0"/>
          <w:numId w:val="4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accidentul survenit în cadrul activităților cultural-sportive organizate, în timpul și din cauza îndeplinirii acestor activități;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orice persoană ca urmare a unei acțiuni întreprinse din propria inițiativă pentru salvarea de vieți omenești, precum și accidentul suferit în timpul intervenției de urgență sau al pregătirii în vederea participării la aceasta, pe durata efectuării serviciului de voluntariat organizat conform prevederilor legale;</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orice persoană, ca urmare a unei acțiuni întreprinse din proprie inițiativă pentru prevenirea ori înlăturarea unui pericol care amenință avutul public și privat;</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cauzat de activități care nu au legătură cu procesul muncii, dacă se produce la sediul persoanei juridice sau la adresa persoanei fizice, în calitate de angajator, ori în alt loc de muncă organizat de aceștia, în timpul programului de muncă, și nu se datorează culpei exclusive a accidentatului;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de traseu, dacă deplasarea s-a făcut în timpul și pe traseul normal de la domiciliul lucrătorului la locul de muncă organizat de angajator și invers;</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locul de muncă sau de la un loc de muncă la altul, pentru îndeplinirea unei sarcini de muncă;</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care este încadrată victima, ori de la orice alt loc de muncă organizat de acestea, la o altă persoană juridică sau fizică, pentru îndeplinirea sarcinilor de muncă, pe durata normală de deplasare;</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înainte sau după încetarea lucrului, dacă victima prelua sau preda uneltele de lucru, locul de muncă, utilajul ori materialele, dacă schimbă îmbrăcămintea personală, echipamentul individual de protecție sau orice alt echipament pus la dispoziție de angajator, dacă se află în baie ori în spălător sau dacă se deplasa de la locul de muncă la ieșirea din întreprindere sau unitate și invers;</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pauzelor regulamentare, dacă acesta a avut loc în locuri organizate de angajator, precum și în timpul și pe traseul normal spre și de la aceste locuri;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lucrători ai angajatorilor români sau de persoane fizice române, delegați pentru îndeplinirea îndatoririlor de serviciu în afara granițelor țării, pe durată și traseul prevăzute în documentul de deplasare;</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personalul român care efectuează lucrări și servicii pe teritoriul altor țări, în baza unor contracte, convenții sau în alte condiții prevăzute de lege, încheiate de persoane juridice române cu parteneri străini, în timpul și din cauza îndeplinirii îndatoririlor de serviciu;</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cei care urmează cursuri de calificare, recalificare sau perfecționare a pregătirii profesionale, în timpul și din cauza efectuării activităților aferente stagiului de practică;</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determinat de fenomene sau calamități naturale, cum ar fi furtună, viscol, cutremur, inundație, alunecări de teren, trăsnet (electrocutare), dacă victima se află în timpul procesului de muncă sau în îndeplinirea îndatoririlor de serviciu;</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dispariția unei persoane, în condițiile unui accident de muncă și în împrejurări care îndreptățesc presupunerea decesului acesteia;</w:t>
      </w:r>
    </w:p>
    <w:p>
      <w:pPr>
        <w:pStyle w:val="Normal"/>
        <w:widowControl/>
        <w:numPr>
          <w:ilvl w:val="0"/>
          <w:numId w:val="46"/>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 persoană aflată în îndeplinirea atribuțiilor de serviciu, ca urmare a unei agresiuni.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situațiile menționate la art. 30, alin. (1) lit. g), h), i) și l) din Legea 319/ 2006, deplasarea trebuie să se facă fără abateri nejustificate de la traseul normal și, de asemenea, transportul să se facă în condițiile prevăzute de reglementările de securitate și sănătate în muncă sau de circulație în vigoare.</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31) </w:t>
      </w:r>
      <w:r>
        <w:rPr>
          <w:rFonts w:eastAsia="Arial" w:cs="Arial" w:ascii="Arial" w:hAnsi="Arial"/>
          <w:b w:val="false"/>
          <w:color w:val="auto"/>
          <w:spacing w:val="0"/>
          <w:w w:val="100"/>
          <w:sz w:val="20"/>
          <w:szCs w:val="20"/>
          <w:lang w:val="ro-RO"/>
        </w:rPr>
        <w:t xml:space="preserve">Accidentele de muncă se clasifică, în raport cu urmările produse și cu numărul persoanelor accidentate, în:</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incapacitate temporară de muncă de cel puțin 3 zile calendaristice;</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invaliditate;</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mortale;</w:t>
      </w:r>
    </w:p>
    <w:p>
      <w:pPr>
        <w:pStyle w:val="Normal"/>
        <w:widowControl/>
        <w:numPr>
          <w:ilvl w:val="0"/>
          <w:numId w:val="2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accidente colective, când sunt accidentate cel puțin 3 persoane în același timp și din aceeași cauză.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32)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Înregistrarea accidentului de muncă se face pe baza procesului-verbal de cercetare.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Accidentul de muncă înregistrat de angajator se raportează de către acesta la inspectoratul teritorial de muncă, precum și la asigurator, potrivit legii.</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33) </w:t>
      </w:r>
      <w:r>
        <w:rPr>
          <w:rFonts w:eastAsia="Arial" w:cs="Arial" w:ascii="Arial" w:hAnsi="Arial"/>
          <w:b w:val="false"/>
          <w:color w:val="auto"/>
          <w:spacing w:val="0"/>
          <w:w w:val="100"/>
          <w:sz w:val="20"/>
          <w:szCs w:val="20"/>
          <w:lang w:val="ro-RO"/>
        </w:rPr>
        <w:t>În sensul prevederilor art. 5 lit. h) din Legea 319/ 2006, afecțiunile suferite de elevi și studenți în timpul efectuării instruirii practice sunt, de asemenea, boli profesionale.</w:t>
      </w:r>
    </w:p>
    <w:p>
      <w:pPr>
        <w:pStyle w:val="Heading1"/>
        <w:widowControl/>
        <w:numPr>
          <w:ilvl w:val="0"/>
          <w:numId w:val="9"/>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34)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Declararea bolilor profesionale este obligatorie și se face de către medicii din cadrul autorităților de sănătate publică teritoriale și a municipiului București.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Cercetarea cauzelor îmbolnăvirilor profesionale, în vederea confirmării sau infirmării lor, precum și stabilirea de măsuri pentru prevenirea altor îmbolnăviri se fac de către specialiștii autorităților de sănătate publică teritoriale, în colaborare cu inspectorii din inspectoratele teritoriale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Declararea bolilor profesionale se face pe baza procesului-verbal de cercetare.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Bolile profesionale nou-declarate se raportează lunar de către autoritatea de sănătate publică teritorială și a municipiului București la Centrul național de coordonare metodologică și informare privind bolile profesionale din cadrul Institutului de Sănătate Publică București, la Centrul de Calcul și Statistică Sanitară București, precum și la structurile teritoriale ale asigurătorului stabilit conform legii.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Intoxicația acută profesională se declară, se cercetează și se înregistrează atât ca boală profesională, cât și ca accident de muncă.</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VIII. Evaluarea riscurilor de accidentare și/ sau îmbolnăvire profesională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(H.G. 1425/ 2006, Art. 15, alin. 3) </w:t>
      </w:r>
      <w:r>
        <w:rPr>
          <w:rStyle w:val="tal1"/>
          <w:rFonts w:eastAsia="Arial" w:cs="Arial" w:ascii="Arial" w:hAnsi="Arial"/>
          <w:b/>
          <w:bCs/>
          <w:color w:val="auto"/>
          <w:spacing w:val="0"/>
          <w:w w:val="100"/>
          <w:sz w:val="20"/>
          <w:szCs w:val="20"/>
          <w:lang w:val="ro-RO"/>
        </w:rPr>
        <w:t>Evaluarea riscurilor cu privire la securitatea și sănătatea în muncă la nivelul întreprinderii și/sau unității, inclusiv pentru grupurile sensibile la riscuri specifice, trebuie revizuită, cel puțin, în următoarele situații: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ori de câte ori intervin schimbări sau modificări în ceea ce privește tehnologia, echipamentele de muncă, substanțele ori preparatele chimice utilizate și amenajarea locurilor de muncă/posturilor de muncă;</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după producerea unui eveniment;</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la constatarea omiterii unor riscuri sau la apariția unor riscuri noi;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la utilizarea postului de lucru de către un lucrător aparținând grupurilor sensibile la riscuri specifice;</w:t>
      </w:r>
    </w:p>
    <w:p>
      <w:pPr>
        <w:pStyle w:val="Normal"/>
        <w:widowControl/>
        <w:numPr>
          <w:ilvl w:val="2"/>
          <w:numId w:val="9"/>
        </w:numPr>
        <w:spacing w:before="0" w:after="120"/>
        <w:jc w:val="left"/>
        <w:rPr>
          <w:rFonts w:ascii="Arial" w:hAnsi="Arial" w:cs="Arial"/>
          <w:sz w:val="18"/>
          <w:szCs w:val="18"/>
          <w:lang w:val="es-ES_tradnl"/>
        </w:rPr>
      </w:pPr>
      <w:r>
        <w:rPr>
          <w:rStyle w:val="tli1"/>
          <w:rFonts w:eastAsia="Arial" w:cs="Arial" w:ascii="Arial" w:hAnsi="Arial"/>
          <w:bCs/>
          <w:color w:val="auto"/>
          <w:spacing w:val="0"/>
          <w:w w:val="100"/>
          <w:sz w:val="20"/>
          <w:szCs w:val="20"/>
          <w:lang w:val="ro-RO"/>
        </w:rPr>
        <w:t>la executarea unor lucrări speciale.</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Capitolul IX. Informații privind </w:t>
      </w:r>
      <w:r>
        <w:rPr>
          <w:rStyle w:val="tpt1"/>
          <w:rFonts w:eastAsia="Arial" w:cs="Arial" w:ascii="Arial" w:hAnsi="Arial"/>
          <w:b/>
          <w:color w:val="auto"/>
          <w:spacing w:val="0"/>
          <w:w w:val="100"/>
          <w:sz w:val="20"/>
          <w:szCs w:val="20"/>
          <w:lang w:val="ro-RO"/>
        </w:rPr>
        <w:t>necesarul, întocmirea și implementarea necesarului de documentații cu caracter tehnic de informare și instruire a lucrătorilor 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Întocmirea unui necesar de documentații cu caracter tehnic de informare și instruire a lucrătorilor în domeniul securității și sănătății în muncă, </w:t>
      </w:r>
      <w:r>
        <w:rPr>
          <w:rFonts w:eastAsia="Arial" w:cs="Arial" w:ascii="Arial" w:hAnsi="Arial"/>
          <w:color w:val="auto"/>
          <w:spacing w:val="0"/>
          <w:w w:val="100"/>
          <w:sz w:val="20"/>
          <w:szCs w:val="20"/>
          <w:lang w:val="ro-RO"/>
        </w:rPr>
        <w:t>conform prevederilor H.G. 1425/ 2006, Art. 15, alin. 1, punctul 6, are ca scop oferirea de informații pentru ușurarea desfășurării activităților de prevenire și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Cerințele minime de securitate și sănătate în muncă oferă informații concrete, informații aplicabile în funcție de domeniile de activitate în care unitatea își desfășoară activitatea, conform tabelelor de mai jos (tabel 1, 2, 3), astfel:</w:t>
      </w:r>
    </w:p>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1. ACTE NORMATIVE ÎN DOMENIUL SECURITĂȚII ȘI SĂNĂTĂȚII ÎN MUNCĂ</w:t>
      </w:r>
    </w:p>
    <w:tbl>
      <w:tblPr>
        <w:tblW w:w="5000" w:type="pct"/>
        <w:jc w:val="left"/>
        <w:tblInd w:w="55" w:type="dxa"/>
        <w:tblLayout w:type="fixed"/>
        <w:tblCellMar>
          <w:top w:w="55" w:type="dxa"/>
          <w:left w:w="55" w:type="dxa"/>
          <w:bottom w:w="55" w:type="dxa"/>
          <w:right w:w="55" w:type="dxa"/>
        </w:tblCellMar>
      </w:tblPr>
      <w:tblGrid>
        <w:gridCol w:w="654"/>
        <w:gridCol w:w="2152"/>
        <w:gridCol w:w="6549"/>
      </w:tblGrid>
      <w:tr>
        <w:trPr>
          <w:tblHeader w:val="true"/>
          <w:cantSplit/>
        </w:trPr>
        <w:tc>
          <w:tcPr>
            <w:tcW w:w="654"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215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Denumirea actului normativ</w:t>
            </w:r>
          </w:p>
        </w:tc>
        <w:tc>
          <w:tcPr>
            <w:tcW w:w="654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Informații concrete oferite de actul normativ</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Legea 319/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Legea securității și sănătății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1425/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Normele metodologice de aplicare a prevederilor Legii securității și sănătății în muncă nr. 319/ 2006</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557/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Completarea măsurilor destinate să promoveze îmbunătățirea securității și sănătății la locul de muncă pentru salariații încadrați în baza unui contract individual de muncă pe durată determinată și pentru salariații temporari încadrați la agenți de muncă temporară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355/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Supravegherea sănătății lucrătorilor (MEDICINA MUNCII)</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1876/ 2005</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vibrații</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300/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șantierele temporare sau mobile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493/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zgomot</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971/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pentru semnalizarea de securitate și/sau de sănătate la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9.</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1028/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în muncă referitoare la utilizarea echipamentelor cu ecran de vizualizare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10.</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1048/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utilizarea de către lucrători a echipamentelor individuale de protecție la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1049/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pentru asigurarea securității și sănătății lucrătorilor din industria extractivă de suprafață și subteran</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1051/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manipularea manuală a maselor care prezintă riscuri pentru lucrători, în special de afecțiuni dorsolombare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1058/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pentru îmbunătățirea securității și protecției sănătății lucrătorilor care pot fi expuși riscului datorat atmosferelor explozive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de securitate și sănătate pentru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1092/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lucrătorilor împotriva riscurilor legate de expunerea lor la agenți biologici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1093/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protecția lucrătorilor împotriva riscurilor legate de expunerea la agenți cancerigeni sau mutageni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1136/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câmpurile electromagnetice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1146/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utilizarea în muncă de către lucrători a echipamentelor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19.</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1218/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asigurarea protecției lucrătorilor împotriva riscurilor legate de expunerea la agenți chimici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20.</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600/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tinerilor la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1875/ 2005</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sănătății și securității lucrătorilor față de riscurile datorate expunerii la azbest</w:t>
            </w:r>
          </w:p>
        </w:tc>
      </w:tr>
    </w:tbl>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2. DOCUMENTE CU CARACTER INTERN DE INFORMARE</w:t>
      </w:r>
    </w:p>
    <w:tbl>
      <w:tblPr>
        <w:tblW w:w="5000" w:type="pct"/>
        <w:jc w:val="left"/>
        <w:tblInd w:w="55" w:type="dxa"/>
        <w:tblLayout w:type="fixed"/>
        <w:tblCellMar>
          <w:top w:w="55" w:type="dxa"/>
          <w:left w:w="55" w:type="dxa"/>
          <w:bottom w:w="55" w:type="dxa"/>
          <w:right w:w="55" w:type="dxa"/>
        </w:tblCellMar>
      </w:tblPr>
      <w:tblGrid>
        <w:gridCol w:w="654"/>
        <w:gridCol w:w="2152"/>
        <w:gridCol w:w="6549"/>
      </w:tblGrid>
      <w:tr>
        <w:trPr>
          <w:tblHeader w:val="true"/>
          <w:cantSplit/>
        </w:trPr>
        <w:tc>
          <w:tcPr>
            <w:tcW w:w="654"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215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Denumirea document</w:t>
            </w:r>
          </w:p>
        </w:tc>
        <w:tc>
          <w:tcPr>
            <w:tcW w:w="654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Informații concrete oferite de document</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Cărți tehnice</w:t>
            </w:r>
          </w:p>
        </w:tc>
        <w:tc>
          <w:tcPr>
            <w:tcW w:w="6549" w:type="dxa"/>
            <w:vMerge w:val="restart"/>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Toate informațiile necesare cu privire la modul de utilizare, depozitarea, întreținerea și mentenanța, specificații tehnice și principii de funcționare și a sistemelor de control și securitate, obligații și atenționări specifice, pentru a putea obține maximum de eficiență, performanțe ridicate și evitarea producerii de accidente cauzate de mijlocul de producție pentru fiecare echipament de muncă din dotarea unității.</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Manuale de utilizare</w:t>
            </w:r>
          </w:p>
        </w:tc>
        <w:tc>
          <w:tcPr>
            <w:tcW w:w="6549" w:type="dxa"/>
            <w:vMerge w:val="continue"/>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MISSMIG</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Material de instruire în domeniul securității și sănătății în muncă pentru instruirea introductiv – generală</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IPSSM</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Instrucțiuni proprii în domeniul securității și sănătății în muncă</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TISSM</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Tematica de instruire și programul de instruire – testare la nivelul unității în domeniul securității și sănătății în muncă</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LN E.I.P.</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Lista internă cu necesarul de dotare cu echipament individual de protecție (E.I.P.) a lucrătorilor</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EVR</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Evaluarea riscurilor de accidentare și / sau îmbolnăvire profesională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PPP</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Planul de prevenire și protecție</w:t>
            </w:r>
          </w:p>
        </w:tc>
      </w:tr>
    </w:tbl>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3. ALTE MATERIALE INFORMATIVE</w:t>
      </w:r>
    </w:p>
    <w:tbl>
      <w:tblPr>
        <w:tblW w:w="5000" w:type="pct"/>
        <w:jc w:val="left"/>
        <w:tblInd w:w="55" w:type="dxa"/>
        <w:tblLayout w:type="fixed"/>
        <w:tblCellMar>
          <w:top w:w="55" w:type="dxa"/>
          <w:left w:w="55" w:type="dxa"/>
          <w:bottom w:w="55" w:type="dxa"/>
          <w:right w:w="55" w:type="dxa"/>
        </w:tblCellMar>
      </w:tblPr>
      <w:tblGrid>
        <w:gridCol w:w="654"/>
        <w:gridCol w:w="2152"/>
        <w:gridCol w:w="1203"/>
        <w:gridCol w:w="980"/>
        <w:gridCol w:w="1203"/>
        <w:gridCol w:w="980"/>
        <w:gridCol w:w="1203"/>
        <w:gridCol w:w="980"/>
      </w:tblGrid>
      <w:tr>
        <w:trPr>
          <w:tblHeader w:val="true"/>
          <w:cantSplit/>
          <w:trHeight w:val="46" w:hRule="atLeast"/>
        </w:trPr>
        <w:tc>
          <w:tcPr>
            <w:tcW w:w="654" w:type="dxa"/>
            <w:tcBorders>
              <w:top w:val="single" w:sz="4" w:space="0" w:color="000000"/>
              <w:left w:val="single" w:sz="4" w:space="0" w:color="000000"/>
              <w:bottom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Nr. crt.</w:t>
            </w:r>
          </w:p>
        </w:tc>
        <w:tc>
          <w:tcPr>
            <w:tcW w:w="2152" w:type="dxa"/>
            <w:tcBorders>
              <w:top w:val="single" w:sz="4" w:space="0" w:color="000000"/>
              <w:left w:val="single" w:sz="4" w:space="0" w:color="000000"/>
              <w:bottom w:val="single" w:sz="4" w:space="0" w:color="000000"/>
            </w:tcBorders>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Denumirea materialului informativ</w:t>
            </w:r>
          </w:p>
        </w:tc>
        <w:tc>
          <w:tcPr>
            <w:tcW w:w="6549" w:type="dxa"/>
            <w:gridSpan w:val="6"/>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Informații concrete oferite de materialul informativ</w:t>
            </w:r>
          </w:p>
        </w:tc>
      </w:tr>
      <w:tr>
        <w:trPr>
          <w:cantSplit/>
          <w:trHeight w:val="46" w:hRule="atLeast"/>
        </w:trPr>
        <w:tc>
          <w:tcPr>
            <w:tcW w:w="654" w:type="dxa"/>
            <w:vMerge w:val="restart"/>
            <w:tcBorders>
              <w:left w:val="single" w:sz="4" w:space="0" w:color="000000"/>
              <w:bottom w:val="single" w:sz="4" w:space="0" w:color="000000"/>
            </w:tcBorders>
            <w:vAlign w:val="center"/>
          </w:tcPr>
          <w:p>
            <w:pPr>
              <w:pStyle w:val="Normal"/>
              <w:keepNext w:val="true"/>
              <w:widowControl/>
              <w:snapToGrid w:val="false"/>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1.</w:t>
            </w:r>
          </w:p>
        </w:tc>
        <w:tc>
          <w:tcPr>
            <w:tcW w:w="2152" w:type="dxa"/>
            <w:vMerge w:val="restart"/>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STOC DE MIJLOACE DE SEMNALIZARE</w:t>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r>
      <w:tr>
        <w:trPr>
          <w:cantSplit/>
          <w:trHeight w:val="569" w:hRule="atLeast"/>
        </w:trPr>
        <w:tc>
          <w:tcPr>
            <w:tcW w:w="654" w:type="dxa"/>
            <w:vMerge w:val="continue"/>
            <w:tcBorders>
              <w:left w:val="single" w:sz="4" w:space="0" w:color="000000"/>
              <w:bottom w:val="single" w:sz="4" w:space="0" w:color="000000"/>
            </w:tcBorders>
            <w:vAlign w:val="center"/>
          </w:tcPr>
          <w:p>
            <w:pPr>
              <w:pStyle w:val="Normal"/>
              <w:keepNext w:val="true"/>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52"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INTERZICERE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PERICOL</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PSI</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8"/>
                <w:szCs w:val="20"/>
                <w:lang w:val="ro-RO"/>
              </w:rPr>
              <w:drawing>
                <wp:inline distT="0" distB="0" distL="0" distR="0">
                  <wp:extent cx="415925" cy="41592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rcRect l="-15" t="-15" r="-15" b="-15"/>
                          <a:stretch>
                            <a:fillRect/>
                          </a:stretch>
                        </pic:blipFill>
                        <pic:spPr bwMode="auto">
                          <a:xfrm>
                            <a:off x="0" y="0"/>
                            <a:ext cx="415925" cy="41592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AVERTIZARE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ATENȚIONARE</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452120" cy="396875"/>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rcRect l="-15" t="-18" r="-15" b="-18"/>
                          <a:stretch>
                            <a:fillRect/>
                          </a:stretch>
                        </pic:blipFill>
                        <pic:spPr bwMode="auto">
                          <a:xfrm>
                            <a:off x="0" y="0"/>
                            <a:ext cx="452120" cy="39687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OBLIGATIVI</w:t>
              <w:softHyphen/>
              <w:t>TATE</w:t>
            </w:r>
          </w:p>
        </w:tc>
        <w:tc>
          <w:tcPr>
            <w:tcW w:w="980" w:type="dxa"/>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387985" cy="387985"/>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rcRect l="-7" t="-7" r="-7" b="-7"/>
                          <a:stretch>
                            <a:fillRect/>
                          </a:stretch>
                        </pic:blipFill>
                        <pic:spPr bwMode="auto">
                          <a:xfrm>
                            <a:off x="0" y="0"/>
                            <a:ext cx="387985" cy="387985"/>
                          </a:xfrm>
                          <a:prstGeom prst="rect">
                            <a:avLst/>
                          </a:prstGeom>
                          <a:noFill/>
                        </pic:spPr>
                      </pic:pic>
                    </a:graphicData>
                  </a:graphic>
                </wp:inline>
              </w:drawing>
            </w:r>
          </w:p>
        </w:tc>
      </w:tr>
      <w:tr>
        <w:trPr>
          <w:cantSplit/>
          <w:trHeight w:val="46" w:hRule="atLeast"/>
        </w:trPr>
        <w:tc>
          <w:tcPr>
            <w:tcW w:w="654" w:type="dxa"/>
            <w:vMerge w:val="continue"/>
            <w:tcBorders>
              <w:left w:val="single" w:sz="4" w:space="0" w:color="000000"/>
              <w:bottom w:val="single" w:sz="4" w:space="0" w:color="000000"/>
            </w:tcBorders>
            <w:vAlign w:val="center"/>
          </w:tcPr>
          <w:p>
            <w:pPr>
              <w:pStyle w:val="Normal"/>
              <w:keepNext w:val="true"/>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52"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r>
      <w:tr>
        <w:trPr>
          <w:cantSplit/>
          <w:trHeight w:val="569" w:hRule="atLeast"/>
        </w:trPr>
        <w:tc>
          <w:tcPr>
            <w:tcW w:w="654"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52"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SALVARE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PRIM AJUTOR</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8"/>
                <w:szCs w:val="20"/>
                <w:lang w:val="ro-RO"/>
              </w:rPr>
              <w:drawing>
                <wp:inline distT="0" distB="0" distL="0" distR="0">
                  <wp:extent cx="429895" cy="429895"/>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rcRect l="-15" t="-15" r="-15" b="-15"/>
                          <a:stretch>
                            <a:fillRect/>
                          </a:stretch>
                        </pic:blipFill>
                        <pic:spPr bwMode="auto">
                          <a:xfrm>
                            <a:off x="0" y="0"/>
                            <a:ext cx="429895" cy="42989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Style w:val="tsp1"/>
                <w:rFonts w:eastAsia="Arial" w:cs="Arial" w:ascii="Arial" w:hAnsi="Arial"/>
                <w:b/>
                <w:color w:val="auto"/>
                <w:spacing w:val="0"/>
                <w:w w:val="100"/>
                <w:sz w:val="14"/>
                <w:szCs w:val="20"/>
                <w:lang w:val="ro-RO"/>
              </w:rPr>
              <w:t>PREVENIREA ȘI STINGEREA INCENDIILOR</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415925" cy="415925"/>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rcRect l="-15" t="-15" r="-15" b="-15"/>
                          <a:stretch>
                            <a:fillRect/>
                          </a:stretch>
                        </pic:blipFill>
                        <pic:spPr bwMode="auto">
                          <a:xfrm>
                            <a:off x="0" y="0"/>
                            <a:ext cx="415925" cy="41592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BENZI DE MARCAJ OCAZIONAT</w:t>
            </w:r>
          </w:p>
        </w:tc>
        <w:tc>
          <w:tcPr>
            <w:tcW w:w="980" w:type="dxa"/>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524510" cy="316230"/>
                  <wp:effectExtent l="0" t="0" r="0" b="0"/>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7"/>
                          <a:stretch>
                            <a:fillRect/>
                          </a:stretch>
                        </pic:blipFill>
                        <pic:spPr bwMode="auto">
                          <a:xfrm>
                            <a:off x="0" y="0"/>
                            <a:ext cx="524510" cy="316230"/>
                          </a:xfrm>
                          <a:prstGeom prst="rect">
                            <a:avLst/>
                          </a:prstGeom>
                          <a:noFill/>
                          <a:ln w="6350">
                            <a:solidFill>
                              <a:srgbClr val="000000"/>
                            </a:solidFill>
                          </a:ln>
                        </pic:spPr>
                      </pic:pic>
                    </a:graphicData>
                  </a:graphic>
                </wp:inline>
              </w:drawing>
            </w:r>
          </w:p>
        </w:tc>
      </w:tr>
      <w:tr>
        <w:trPr>
          <w:cantSplit/>
          <w:trHeight w:val="53" w:hRule="atLeast"/>
        </w:trPr>
        <w:tc>
          <w:tcPr>
            <w:tcW w:w="654" w:type="dxa"/>
            <w:tcBorders>
              <w:left w:val="single" w:sz="4" w:space="0" w:color="000000"/>
              <w:bottom w:val="single" w:sz="4" w:space="0" w:color="000000"/>
            </w:tcBorders>
            <w:vAlign w:val="center"/>
          </w:tcPr>
          <w:p>
            <w:pPr>
              <w:pStyle w:val="Normal"/>
              <w:widowControl/>
              <w:snapToGrid w:val="false"/>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2.</w:t>
            </w:r>
          </w:p>
        </w:tc>
        <w:tc>
          <w:tcPr>
            <w:tcW w:w="2152"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PANOURI INFORMATIVE</w:t>
            </w:r>
          </w:p>
        </w:tc>
        <w:tc>
          <w:tcPr>
            <w:tcW w:w="6549" w:type="dxa"/>
            <w:gridSpan w:val="6"/>
            <w:tcBorders>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pt-PT"/>
              </w:rPr>
            </w:pPr>
            <w:r>
              <w:rPr>
                <w:rFonts w:eastAsia="Arial" w:cs="Arial" w:ascii="Arial" w:hAnsi="Arial"/>
                <w:color w:val="auto"/>
                <w:spacing w:val="0"/>
                <w:w w:val="100"/>
                <w:sz w:val="18"/>
                <w:szCs w:val="20"/>
                <w:lang w:val="ro-RO"/>
              </w:rPr>
              <w:t>Se vor afișa panouri care vor informa cu privire la primul ajutor, stingerea incendiilor, măsuri de evacuare, instrucțiuni pentru echipamente de muncă, planuri de evacuare și alte informații utile în domeniul securității și sănătății în muncă și situații de urgență.</w:t>
            </w:r>
          </w:p>
          <w:p>
            <w:pPr>
              <w:pStyle w:val="Normal"/>
              <w:widowControl/>
              <w:spacing w:before="0" w:after="0"/>
              <w:rPr>
                <w:rFonts w:ascii="Arial" w:hAnsi="Arial" w:cs="Arial"/>
                <w:sz w:val="18"/>
                <w:szCs w:val="18"/>
                <w:lang w:val="pt-PT"/>
              </w:rPr>
            </w:pPr>
            <w:r>
              <w:rPr>
                <w:rFonts w:eastAsia="Arial" w:cs="Arial" w:ascii="Arial" w:hAnsi="Arial"/>
                <w:color w:val="auto"/>
                <w:spacing w:val="0"/>
                <w:w w:val="100"/>
                <w:sz w:val="18"/>
                <w:szCs w:val="20"/>
                <w:lang w:val="ro-RO"/>
              </w:rPr>
              <w:t>Pentru informații mai precise privind modul de afișare, informațiile care trebuie afișate și cazurile în care este necesară afișarea de informații, angajatorul va solicita serviciului extern de prevenire și protecție pentru oferirea de informații specifice și clare cu privire la aceste activități.</w:t>
            </w:r>
          </w:p>
        </w:tc>
      </w:tr>
    </w:tbl>
    <w:p>
      <w:pPr>
        <w:pStyle w:val="Normal"/>
        <w:keepNext w:val="true"/>
        <w:widowControl/>
        <w:tabs>
          <w:tab w:val="clear" w:pos="720"/>
          <w:tab w:val="left" w:pos="567" w:leader="none"/>
        </w:tabs>
        <w:spacing w:before="240" w:after="120"/>
        <w:ind w:hanging="0"/>
        <w:jc w:val="center"/>
        <w:rPr>
          <w:rStyle w:val="tpt1"/>
          <w:rFonts w:ascii="Arial" w:hAnsi="Arial" w:cs="Arial"/>
          <w:b/>
          <w:sz w:val="18"/>
          <w:szCs w:val="18"/>
          <w:lang w:val="fr-FR"/>
        </w:rPr>
      </w:pPr>
      <w:r>
        <w:rPr>
          <w:rFonts w:eastAsia="Arial" w:cs="Arial" w:ascii="Arial" w:hAnsi="Arial"/>
          <w:b/>
          <w:color w:val="auto"/>
          <w:spacing w:val="0"/>
          <w:w w:val="100"/>
          <w:sz w:val="20"/>
          <w:szCs w:val="20"/>
          <w:lang w:val="ro-RO"/>
        </w:rPr>
        <w:t xml:space="preserve">Capitolul X. Informații privind </w:t>
      </w:r>
      <w:r>
        <w:rPr>
          <w:rStyle w:val="tpt1"/>
          <w:rFonts w:eastAsia="Arial" w:cs="Arial" w:ascii="Arial" w:hAnsi="Arial"/>
          <w:b/>
          <w:color w:val="auto"/>
          <w:spacing w:val="0"/>
          <w:w w:val="100"/>
          <w:sz w:val="20"/>
          <w:szCs w:val="20"/>
          <w:lang w:val="ro-RO"/>
        </w:rPr>
        <w:t>întocmirea fișei postului</w:t>
      </w:r>
    </w:p>
    <w:p>
      <w:pPr>
        <w:pStyle w:val="Normal"/>
        <w:keepNext/>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 atribuții și răspunderi în domeniul securității și sănătății în muncă (conform Legii 319/2006 și H.G. 1425/ 2006), valabile pentru lucrători:</w:t>
      </w:r>
    </w:p>
    <w:p>
      <w:pPr>
        <w:pStyle w:val="Normal"/>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mod deosebit, pentru evitarea riscurilor de expună la pericol de accidentare sau îmbolnăvire profesională atât propria persoană, cât și alte persoane care pot fi afectate de acțiuni sau omisiuni sale timpul procesului de muncă, lucrătorii au următoarele obligații:</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 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keepNext/>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asemenea, pentru o cooperare cu angajatorul și/ sau cu lucrătorii desemnați, lucrătorii au următoarele obligații:</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participe la instruirile de la angajare în domeniul securității și sănătății în muncă (instruirea introductiv – generală, instruirea la locul de muncă);</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periodice în domeniul securității și sănătății în muncă (atunci când acestea sunt programate) după ce au fost informați în prealabil de către șeful ierarhic (șeful locului de muncă);</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participe la instruirile suplimentare (reinstruiri) în domeniul securității și sănătății în muncă (atunci când acestea sunt programate) după ce au fost informați în prealabil de către șeful ierarhic (șeful locului de muncă);</w:t>
      </w:r>
    </w:p>
    <w:p>
      <w:pPr>
        <w:pStyle w:val="Normal"/>
        <w:widowControl/>
        <w:numPr>
          <w:ilvl w:val="0"/>
          <w:numId w:val="29"/>
        </w:numPr>
        <w:spacing w:before="0" w:after="120"/>
        <w:jc w:val="left"/>
        <w:rPr>
          <w:rStyle w:val="tpt1"/>
          <w:rFonts w:ascii="Arial" w:hAnsi="Arial" w:cs="Arial"/>
          <w:sz w:val="18"/>
          <w:szCs w:val="18"/>
          <w:lang w:val="it-IT"/>
        </w:rPr>
      </w:pPr>
      <w:r>
        <w:rPr>
          <w:rFonts w:eastAsia="Arial" w:cs="Arial" w:ascii="Arial" w:hAnsi="Arial"/>
          <w:color w:val="auto"/>
          <w:spacing w:val="0"/>
          <w:w w:val="100"/>
          <w:sz w:val="20"/>
          <w:szCs w:val="20"/>
          <w:lang w:val="ro-RO"/>
        </w:rPr>
        <w:t xml:space="preserve">Fiecare lucrător se va prezenta la cabinetul de medicina muncii pentru </w:t>
      </w:r>
      <w:r>
        <w:rPr>
          <w:rFonts w:eastAsia="Arial" w:cs="Arial" w:ascii="Arial" w:hAnsi="Arial"/>
          <w:bCs/>
          <w:color w:val="auto"/>
          <w:spacing w:val="0"/>
          <w:w w:val="100"/>
          <w:sz w:val="20"/>
          <w:szCs w:val="20"/>
          <w:lang w:val="ro-RO"/>
        </w:rPr>
        <w:t xml:space="preserve">efectuarea la termenele stabilite de medicul de medicina muncii al unității, </w:t>
      </w:r>
      <w:r>
        <w:rPr>
          <w:rFonts w:eastAsia="Arial" w:cs="Arial" w:ascii="Arial" w:hAnsi="Arial"/>
          <w:color w:val="auto"/>
          <w:spacing w:val="0"/>
          <w:w w:val="100"/>
          <w:sz w:val="20"/>
          <w:szCs w:val="20"/>
          <w:lang w:val="ro-RO"/>
        </w:rPr>
        <w:t xml:space="preserve">controlul medical periodic sau, după caz, controlul psihologic periodic, datele medicale obținute fiind evidențiate în </w:t>
      </w:r>
      <w:r>
        <w:rPr>
          <w:rFonts w:eastAsia="Arial" w:cs="Arial" w:ascii="Arial" w:hAnsi="Arial"/>
          <w:b/>
          <w:bCs/>
          <w:color w:val="auto"/>
          <w:spacing w:val="0"/>
          <w:w w:val="100"/>
          <w:sz w:val="20"/>
          <w:szCs w:val="20"/>
          <w:lang w:val="ro-RO"/>
        </w:rPr>
        <w:t>« FIȘA DE APTITUDINE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 și soluționate prin parafa medicului de medicina muncii în « </w:t>
      </w:r>
      <w:r>
        <w:rPr>
          <w:rFonts w:eastAsia="Arial" w:cs="Arial" w:ascii="Arial" w:hAnsi="Arial"/>
          <w:b/>
          <w:bCs/>
          <w:color w:val="auto"/>
          <w:spacing w:val="0"/>
          <w:w w:val="100"/>
          <w:sz w:val="20"/>
          <w:szCs w:val="20"/>
          <w:lang w:val="ro-RO"/>
        </w:rPr>
        <w:t>FIȘA DE INSTRUIRE ÎN DOMENIUL SECURITĂȚII ȘI SĂNĂTĂȚII ÎN MUNCĂ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pentru anul în curs.</w:t>
      </w:r>
    </w:p>
    <w:p>
      <w:pPr>
        <w:pStyle w:val="Normal"/>
        <w:keepNext/>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 atribuții și răspunderi în domeniul situațiilor de urgență (conform Legii 307/2006), valabile pentru lucrători:</w:t>
      </w:r>
    </w:p>
    <w:p>
      <w:pPr>
        <w:pStyle w:val="Normal"/>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lucrător / persoana care observă un incendiu are obligația să anunțe prin orice mijloc serviciile de urgență, poliția și să ia măsuri, după posibilitățile sale, pentru limitarea și stingerea incendiului.</w:t>
      </w:r>
    </w:p>
    <w:p>
      <w:pPr>
        <w:pStyle w:val="Normal"/>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anunțul de incendiu s-a făcut cu rea-credință, fără motiv întemeiat, autorul răspunde contravențional sau penal, potrivit legii, și suportă cheltuielile ocazionate de deplasarea forțelor de intervenție.</w:t>
      </w:r>
    </w:p>
    <w:p>
      <w:pPr>
        <w:pStyle w:val="Normal"/>
        <w:keepNext/>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lucrător / utilizatorul are următoarele obligații principale:</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cunoască și să respecte măsurile de apărare împotriva incendiilor, stabilite de administrator, conducătorul instituției, proprietar, producător sau importator, după caz;</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întrețină și să folosească, în scopul pentru care au fost realizate, dotările pentru apărarea împotriva incendiilor, puse la dispoziție de administrator, conducătorul instituției, proprietar, producător sau importator;</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respecte normele de apărare împotriva incendiilor, specifice activităților pe care le organizează sau le desfășoară;</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nu efectueze modificări neautorizate și fără acordul scris al proprietarului, al proiectantului inițial al construcției, instalației, echipamentului, dispozitivului sau mijlocului de transport utilizat ori al unui expert tehnic atestat potrivit legislației în vigoare;</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aducă la cunoștința administratorului, conducătorului instituției sau proprietarului, după caz, orice defecțiune tehnică ori altă situație care constituie pericol de incendiu.</w:t>
      </w:r>
    </w:p>
    <w:p>
      <w:pPr>
        <w:pStyle w:val="Normal"/>
        <w:keepNext/>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salariat are, la locul de muncă, următoarele obligații principale:</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respecte regulile și măsurile de apărare împotriva incendiilor, aduse la cunoștință, sub orice formă, de administrator sau de conducătorul instituției, după caz;</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utilizeze substanțele periculoase, instalațiile, utilajele, mașinile, aparatura și echipamentele, potrivit instrucțiunilor tehnice, precum și celor date de administrator sau de conducătorul instituției, după caz;</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nu efectueze manevre nepermise sau modificări neautorizate ale sistemelor și instalațiilor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comunice, imediat după constatare, conducătorului locului de muncă orice încălcare a normelor de apărare împotriva incendiilor sau a oricărei situații stabilite de acesta ca fiind un pericol de incendiu, precum și orice defecțiune sesizată la sistemele și instalațiile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coopereze cu salariații desemnați de administrator, după caz, respectiv cu cadrul tehnic specializat, care are atribuții în domeniul apărării împotriva incendiilor, în vederea realizării măsurilor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acționeze, în conformitate cu procedurile stabilite la locul de muncă, în cazul apariției oricărui pericol iminent de incendiu;</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furnizeze persoanelor abilitate toate datele și informațiile de care are cunoștință, referitoare la producerea incendiilor.</w:t>
      </w:r>
    </w:p>
    <w:p>
      <w:pPr>
        <w:pStyle w:val="Normal"/>
        <w:keepNext/>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 asemenea, în scopul realizării obiectivelor prevăzute la art. 3, lit. a) și c) din prezenta anexă, lucrătorii au următoarele obligații:</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de la angajare în domeniul situațiilor de urgență (instruirea introductiv – generală, instruirea la locul de muncă);</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periodice în domeniul situațiilor de urgență (atunci când acestea sunt programate) după ce au fost informați în prealabil de către șeful ierarhic (șeful locului de muncă);</w:t>
      </w:r>
    </w:p>
    <w:p>
      <w:pPr>
        <w:pStyle w:val="Normal"/>
        <w:widowControl/>
        <w:numPr>
          <w:ilvl w:val="0"/>
          <w:numId w:val="25"/>
        </w:numPr>
        <w:spacing w:before="0" w:after="120"/>
        <w:ind w:hanging="360" w:left="1080"/>
        <w:jc w:val="left"/>
        <w:rPr>
          <w:rStyle w:val="tpt1"/>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suplimentare în domeniul situațiilor de urgență (atunci când acestea sunt programate) după ce au fost informați în prealabil de către șeful ierarhic (șeful locului de muncă).</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(conform Legii 319/ 2006 și H.G. 1425/ 2006), valabile pentru șefii locurilor de muncă vor fi aceleași cu ale lucrătorilor doar că se va suplimenta cu următoarea prevedere:</w:t>
      </w:r>
      <w:r>
        <w:rPr>
          <w:rFonts w:eastAsia="Arial" w:cs="Arial" w:ascii="Arial" w:hAnsi="Arial"/>
          <w:color w:val="auto"/>
          <w:spacing w:val="0"/>
          <w:w w:val="100"/>
          <w:sz w:val="20"/>
          <w:szCs w:val="20"/>
          <w:lang w:val="ro-RO"/>
        </w:rPr>
        <w:t xml:space="preserve"> să efectueze instruirea la locul de muncă, periodică și când este cazul, suplimentară la lucrătorii din subordine.</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Obligațiile, atribuțiile și răspunderile în domeniul situațiilor de urgență (conform Legii 307/ 2006), valabile pentru șefii locurilor de muncă vor fi aceleași cu ale lucrătorilor doar că se va suplimenta cu următoarea prevedere:</w:t>
      </w:r>
      <w:r>
        <w:rPr>
          <w:rFonts w:eastAsia="Arial" w:cs="Arial" w:ascii="Arial" w:hAnsi="Arial"/>
          <w:color w:val="auto"/>
          <w:spacing w:val="0"/>
          <w:w w:val="100"/>
          <w:sz w:val="20"/>
          <w:szCs w:val="20"/>
          <w:lang w:val="ro-RO"/>
        </w:rPr>
        <w:t xml:space="preserve"> să efectueze instruirea la locul de muncă, periodică și când este cazul, suplimentară la lucrătorii din subordine.</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56)</w:t>
      </w:r>
      <w:r>
        <w:rPr>
          <w:rStyle w:val="tal1"/>
          <w:rFonts w:eastAsia="Arial" w:cs="Arial" w:ascii="Arial" w:hAnsi="Arial"/>
          <w:color w:val="auto"/>
          <w:spacing w:val="0"/>
          <w:w w:val="100"/>
          <w:sz w:val="20"/>
          <w:szCs w:val="20"/>
          <w:lang w:val="ro-RO"/>
        </w:rPr>
        <w:t xml:space="preserve"> </w:t>
      </w:r>
      <w:bookmarkStart w:id="14" w:name="do|caIII|si9|ar56|pa1"/>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valabile pentru </w:t>
      </w:r>
      <w:r>
        <w:rPr>
          <w:rStyle w:val="tpa1"/>
          <w:rFonts w:eastAsia="Arial" w:cs="Arial" w:ascii="Arial" w:hAnsi="Arial"/>
          <w:color w:val="auto"/>
          <w:spacing w:val="0"/>
          <w:w w:val="100"/>
          <w:sz w:val="20"/>
          <w:szCs w:val="20"/>
          <w:lang w:val="ro-RO"/>
        </w:rPr>
        <w:t xml:space="preserve">Reprezentanții lucrătorilor cu răspunderi specifice în domeniul securității și sănătății în muncă </w:t>
      </w:r>
      <w:r>
        <w:rPr>
          <w:rStyle w:val="tpt1"/>
          <w:rFonts w:eastAsia="Arial" w:cs="Arial" w:ascii="Arial" w:hAnsi="Arial"/>
          <w:color w:val="auto"/>
          <w:spacing w:val="0"/>
          <w:w w:val="100"/>
          <w:sz w:val="20"/>
          <w:szCs w:val="20"/>
          <w:lang w:val="ro-RO"/>
        </w:rPr>
        <w:t xml:space="preserve">vor fi suplimentate cu următoarele prevederi</w:t>
      </w:r>
      <w:bookmarkEnd w:id="14"/>
      <w:r>
        <w:rPr>
          <w:rStyle w:val="tpt1"/>
          <w:rFonts w:eastAsia="Arial" w:cs="Arial" w:ascii="Arial" w:hAnsi="Arial"/>
          <w:color w:val="auto"/>
          <w:spacing w:val="0"/>
          <w:w w:val="100"/>
          <w:sz w:val="20"/>
          <w:szCs w:val="20"/>
          <w:lang w:val="ro-RO"/>
        </w:rPr>
        <w:t xml:space="preserve"/>
      </w:r>
      <w:r>
        <w:rPr>
          <w:rStyle w:val="tpa1"/>
          <w:rFonts w:eastAsia="Arial" w:cs="Arial" w:ascii="Arial" w:hAnsi="Arial"/>
          <w:color w:val="auto"/>
          <w:spacing w:val="0"/>
          <w:w w:val="100"/>
          <w:sz w:val="20"/>
          <w:szCs w:val="20"/>
          <w:lang w:val="ro-RO"/>
        </w:rPr>
        <w:t>:</w:t>
      </w:r>
    </w:p>
    <w:p>
      <w:pPr>
        <w:pStyle w:val="Normal"/>
        <w:widowControl/>
        <w:numPr>
          <w:ilvl w:val="0"/>
          <w:numId w:val="33"/>
        </w:numPr>
        <w:spacing w:before="0" w:after="40"/>
        <w:jc w:val="left"/>
        <w:rPr>
          <w:rFonts w:ascii="Arial" w:hAnsi="Arial" w:cs="Arial"/>
          <w:sz w:val="18"/>
          <w:szCs w:val="18"/>
          <w:lang w:val="it-IT"/>
        </w:rPr>
      </w:pPr>
      <w:bookmarkStart w:id="15" w:name="do|caIII|si9|ar56|lia"/>
      <w:bookmarkEnd w:id="15"/>
      <w:r>
        <w:rPr>
          <w:rStyle w:val="tli1"/>
          <w:rFonts w:eastAsia="Arial" w:cs="Arial" w:ascii="Arial" w:hAnsi="Arial"/>
          <w:color w:val="auto"/>
          <w:spacing w:val="0"/>
          <w:w w:val="100"/>
          <w:sz w:val="20"/>
          <w:szCs w:val="20"/>
          <w:lang w:val="ro-RO"/>
        </w:rPr>
        <w:t>colaborează cu angajatorul pentru îmbunătățirea condițiilor de securitate și sănătate în muncă;</w:t>
      </w:r>
    </w:p>
    <w:p>
      <w:pPr>
        <w:pStyle w:val="Normal"/>
        <w:widowControl/>
        <w:numPr>
          <w:ilvl w:val="0"/>
          <w:numId w:val="33"/>
        </w:numPr>
        <w:spacing w:before="0" w:after="40"/>
        <w:jc w:val="left"/>
        <w:rPr>
          <w:rFonts w:ascii="Arial" w:hAnsi="Arial" w:cs="Arial"/>
          <w:sz w:val="18"/>
          <w:szCs w:val="18"/>
          <w:lang w:val="es-ES"/>
        </w:rPr>
      </w:pPr>
      <w:bookmarkStart w:id="16" w:name="do|caIII|si9|ar56|lib"/>
      <w:bookmarkEnd w:id="16"/>
      <w:r>
        <w:rPr>
          <w:rStyle w:val="tli1"/>
          <w:rFonts w:eastAsia="Arial" w:cs="Arial" w:ascii="Arial" w:hAnsi="Arial"/>
          <w:color w:val="auto"/>
          <w:spacing w:val="0"/>
          <w:w w:val="100"/>
          <w:sz w:val="20"/>
          <w:szCs w:val="20"/>
          <w:lang w:val="ro-RO"/>
        </w:rPr>
        <w:t>însoțesc echipa/persoana care efectuează evaluarea riscurilor;</w:t>
      </w:r>
    </w:p>
    <w:p>
      <w:pPr>
        <w:pStyle w:val="Normal"/>
        <w:widowControl/>
        <w:numPr>
          <w:ilvl w:val="0"/>
          <w:numId w:val="33"/>
        </w:numPr>
        <w:spacing w:before="0" w:after="40"/>
        <w:jc w:val="left"/>
        <w:rPr>
          <w:rFonts w:ascii="Arial" w:hAnsi="Arial" w:cs="Arial"/>
          <w:sz w:val="18"/>
          <w:szCs w:val="18"/>
          <w:lang w:val="es-ES"/>
        </w:rPr>
      </w:pPr>
      <w:bookmarkStart w:id="17" w:name="do|caIII|si9|ar56|lic"/>
      <w:bookmarkEnd w:id="17"/>
      <w:r>
        <w:rPr>
          <w:rStyle w:val="tli1"/>
          <w:rFonts w:eastAsia="Arial" w:cs="Arial" w:ascii="Arial" w:hAnsi="Arial"/>
          <w:color w:val="auto"/>
          <w:spacing w:val="0"/>
          <w:w w:val="100"/>
          <w:sz w:val="20"/>
          <w:szCs w:val="20"/>
          <w:lang w:val="ro-RO"/>
        </w:rPr>
        <w:t>ajută lucrătorii să conștientizeze necesitatea aplicării măsurilor de securitate și sănătate în muncă;</w:t>
      </w:r>
    </w:p>
    <w:p>
      <w:pPr>
        <w:pStyle w:val="Normal"/>
        <w:widowControl/>
        <w:numPr>
          <w:ilvl w:val="0"/>
          <w:numId w:val="33"/>
        </w:numPr>
        <w:spacing w:before="0" w:after="40"/>
        <w:jc w:val="left"/>
        <w:rPr>
          <w:rFonts w:ascii="Arial" w:hAnsi="Arial" w:cs="Arial"/>
          <w:sz w:val="18"/>
          <w:szCs w:val="18"/>
          <w:lang w:val="es-ES"/>
        </w:rPr>
      </w:pPr>
      <w:bookmarkStart w:id="18" w:name="do|caIII|si9|ar56|lid"/>
      <w:bookmarkEnd w:id="18"/>
      <w:r>
        <w:rPr>
          <w:rStyle w:val="tli1"/>
          <w:rFonts w:eastAsia="Arial" w:cs="Arial" w:ascii="Arial" w:hAnsi="Arial"/>
          <w:color w:val="auto"/>
          <w:spacing w:val="0"/>
          <w:w w:val="100"/>
          <w:sz w:val="20"/>
          <w:szCs w:val="20"/>
          <w:lang w:val="ro-RO"/>
        </w:rPr>
        <w:t>aduc la cunoștință angajatorului sau comitetului de securitate și sănătate în muncă propunerile lucrătorilor referitoare la îmbunătățirea condițiilor de muncă;</w:t>
      </w:r>
    </w:p>
    <w:p>
      <w:pPr>
        <w:pStyle w:val="Normal"/>
        <w:widowControl/>
        <w:numPr>
          <w:ilvl w:val="0"/>
          <w:numId w:val="33"/>
        </w:numPr>
        <w:spacing w:before="0" w:after="40"/>
        <w:jc w:val="left"/>
        <w:rPr>
          <w:rFonts w:ascii="Arial" w:hAnsi="Arial" w:cs="Arial"/>
          <w:sz w:val="18"/>
          <w:szCs w:val="18"/>
          <w:lang w:val="es-ES"/>
        </w:rPr>
      </w:pPr>
      <w:bookmarkStart w:id="19" w:name="do|caIII|si9|ar56|lie"/>
      <w:bookmarkEnd w:id="19"/>
      <w:r>
        <w:rPr>
          <w:rStyle w:val="tli1"/>
          <w:rFonts w:eastAsia="Arial" w:cs="Arial" w:ascii="Arial" w:hAnsi="Arial"/>
          <w:color w:val="auto"/>
          <w:spacing w:val="0"/>
          <w:w w:val="100"/>
          <w:sz w:val="20"/>
          <w:szCs w:val="20"/>
          <w:lang w:val="ro-RO"/>
        </w:rPr>
        <w:t>urmăresc realizarea măsurilor din planul de prevenire și protecție;</w:t>
      </w:r>
    </w:p>
    <w:p>
      <w:pPr>
        <w:pStyle w:val="Normal"/>
        <w:widowControl/>
        <w:numPr>
          <w:ilvl w:val="0"/>
          <w:numId w:val="33"/>
        </w:numPr>
        <w:spacing w:before="0" w:after="120"/>
        <w:jc w:val="left"/>
        <w:rPr>
          <w:rStyle w:val="tli1"/>
          <w:rFonts w:ascii="Arial" w:hAnsi="Arial" w:cs="Arial"/>
          <w:sz w:val="18"/>
          <w:szCs w:val="18"/>
          <w:lang w:val="es-ES"/>
        </w:rPr>
      </w:pPr>
      <w:bookmarkStart w:id="20" w:name="do|caIII|si9|ar56|lif"/>
      <w:bookmarkEnd w:id="20"/>
      <w:r>
        <w:rPr>
          <w:rStyle w:val="tli1"/>
          <w:rFonts w:eastAsia="Arial" w:cs="Arial" w:ascii="Arial" w:hAnsi="Arial"/>
          <w:color w:val="auto"/>
          <w:spacing w:val="0"/>
          <w:w w:val="100"/>
          <w:sz w:val="20"/>
          <w:szCs w:val="20"/>
          <w:lang w:val="ro-RO"/>
        </w:rPr>
        <w:t>informează autoritățile competente asupra nerespectării prevederilor legale în domeniul securității și sănătății în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1425/ 2006, Art. 15)</w:t>
      </w:r>
      <w:r>
        <w:rPr>
          <w:rStyle w:val="tal1"/>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valabile pentru </w:t>
      </w:r>
      <w:r>
        <w:rPr>
          <w:rStyle w:val="tpa1"/>
          <w:rFonts w:eastAsia="Arial" w:cs="Arial" w:ascii="Arial" w:hAnsi="Arial"/>
          <w:color w:val="auto"/>
          <w:spacing w:val="0"/>
          <w:w w:val="100"/>
          <w:sz w:val="20"/>
          <w:szCs w:val="20"/>
          <w:lang w:val="ro-RO"/>
        </w:rPr>
        <w:t xml:space="preserve">Lucrătorii desemnați </w:t>
      </w:r>
      <w:r>
        <w:rPr>
          <w:rStyle w:val="tpt1"/>
          <w:rFonts w:eastAsia="Arial" w:cs="Arial" w:ascii="Arial" w:hAnsi="Arial"/>
          <w:color w:val="auto"/>
          <w:spacing w:val="0"/>
          <w:w w:val="100"/>
          <w:sz w:val="20"/>
          <w:szCs w:val="20"/>
          <w:lang w:val="ro-RO"/>
        </w:rPr>
        <w:t xml:space="preserve">vor fi suplimentate cu următoarele prevederi (aceste atribuții vor fi stabilite de comun acord între lucrătorul desemnat și angajator)</w:t>
      </w:r>
      <w:r>
        <w:rPr>
          <w:rStyle w:val="tpa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1" w:name="do|caIII|si2|ar15|al1|pt1"/>
      <w:bookmarkEnd w:id="21"/>
      <w:r>
        <w:rPr>
          <w:rStyle w:val="tpt1"/>
          <w:rFonts w:eastAsia="Arial" w:cs="Arial" w:ascii="Arial" w:hAnsi="Arial"/>
          <w:color w:val="auto"/>
          <w:spacing w:val="0"/>
          <w:w w:val="100"/>
          <w:sz w:val="20"/>
          <w:szCs w:val="20"/>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0"/>
          <w:numId w:val="23"/>
        </w:numPr>
        <w:spacing w:before="0" w:after="40"/>
        <w:jc w:val="left"/>
        <w:rPr>
          <w:rFonts w:ascii="Arial" w:hAnsi="Arial" w:cs="Arial"/>
          <w:sz w:val="18"/>
          <w:szCs w:val="18"/>
          <w:lang w:val="ro-RO"/>
        </w:rPr>
      </w:pPr>
      <w:bookmarkStart w:id="22" w:name="do|caIII|si2|ar15|al1|pt2"/>
      <w:bookmarkEnd w:id="22"/>
      <w:r>
        <w:rPr>
          <w:rStyle w:val="tpt1"/>
          <w:rFonts w:eastAsia="Arial" w:cs="Arial" w:ascii="Arial" w:hAnsi="Arial"/>
          <w:bCs/>
          <w:color w:val="auto"/>
          <w:spacing w:val="0"/>
          <w:w w:val="100"/>
          <w:sz w:val="20"/>
          <w:szCs w:val="20"/>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3" w:name="do|caIII|si2|ar15|al1|pt3"/>
      <w:bookmarkEnd w:id="23"/>
      <w:r>
        <w:rPr>
          <w:rStyle w:val="tpt1"/>
          <w:rFonts w:eastAsia="Arial" w:cs="Arial" w:ascii="Arial" w:hAnsi="Arial"/>
          <w:bCs/>
          <w:color w:val="auto"/>
          <w:spacing w:val="0"/>
          <w:w w:val="100"/>
          <w:sz w:val="20"/>
          <w:szCs w:val="20"/>
          <w:lang w:val="ro-RO"/>
        </w:rPr>
        <w:t>elaborarea de instrucțiuni proprii pentru completarea și/ sau aplicarea reglementărilor de securitate și sănătate în muncă, ținând seama de particularitățile activităților și ale unității/întreprinderii,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4" w:name="do|caIII|si2|ar15|al1|pt4"/>
      <w:bookmarkEnd w:id="24"/>
      <w:r>
        <w:rPr>
          <w:rStyle w:val="tpt1"/>
          <w:rFonts w:eastAsia="Arial" w:cs="Arial" w:ascii="Arial" w:hAnsi="Arial"/>
          <w:color w:val="auto"/>
          <w:spacing w:val="0"/>
          <w:w w:val="100"/>
          <w:sz w:val="20"/>
          <w:szCs w:val="20"/>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0"/>
          <w:numId w:val="23"/>
        </w:numPr>
        <w:spacing w:before="0" w:after="40"/>
        <w:jc w:val="left"/>
        <w:rPr>
          <w:rFonts w:ascii="Arial" w:hAnsi="Arial" w:cs="Arial"/>
          <w:sz w:val="18"/>
          <w:szCs w:val="18"/>
          <w:lang w:val="ro-RO"/>
        </w:rPr>
      </w:pPr>
      <w:bookmarkStart w:id="25" w:name="do|caIII|si2|ar15|al1|pt5"/>
      <w:bookmarkEnd w:id="25"/>
      <w:r>
        <w:rPr>
          <w:rStyle w:val="tpt1"/>
          <w:rFonts w:eastAsia="Arial" w:cs="Arial" w:ascii="Arial" w:hAnsi="Arial"/>
          <w:bCs/>
          <w:color w:val="auto"/>
          <w:spacing w:val="0"/>
          <w:w w:val="100"/>
          <w:sz w:val="20"/>
          <w:szCs w:val="20"/>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6" w:name="do|caIII|si2|ar15|al1|pt6"/>
      <w:bookmarkEnd w:id="26"/>
      <w:r>
        <w:rPr>
          <w:rStyle w:val="tpt1"/>
          <w:rFonts w:eastAsia="Arial" w:cs="Arial" w:ascii="Arial" w:hAnsi="Arial"/>
          <w:color w:val="auto"/>
          <w:spacing w:val="0"/>
          <w:w w:val="100"/>
          <w:sz w:val="20"/>
          <w:szCs w:val="20"/>
          <w:lang w:val="ro-RO"/>
        </w:rPr>
        <w:t>întocmirea unui necesar de documentații cu caracter tehnic de informare și instruire a lucrătorilor în domeniul securității și sănătății în muncă;</w:t>
      </w:r>
    </w:p>
    <w:p>
      <w:pPr>
        <w:pStyle w:val="Normal"/>
        <w:widowControl/>
        <w:numPr>
          <w:ilvl w:val="0"/>
          <w:numId w:val="23"/>
        </w:numPr>
        <w:spacing w:before="0" w:after="40"/>
        <w:jc w:val="left"/>
        <w:rPr>
          <w:rFonts w:ascii="Arial" w:hAnsi="Arial" w:cs="Arial"/>
          <w:sz w:val="18"/>
          <w:szCs w:val="18"/>
          <w:lang w:val="ro-RO"/>
        </w:rPr>
      </w:pPr>
      <w:bookmarkStart w:id="27" w:name="do|caIII|si2|ar15|al1|pt7"/>
      <w:bookmarkEnd w:id="27"/>
      <w:r>
        <w:rPr>
          <w:rStyle w:val="tpt1"/>
          <w:rFonts w:eastAsia="Arial" w:cs="Arial" w:ascii="Arial" w:hAnsi="Arial"/>
          <w:bCs/>
          <w:color w:val="auto"/>
          <w:spacing w:val="0"/>
          <w:w w:val="100"/>
          <w:sz w:val="20"/>
          <w:szCs w:val="20"/>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8" w:name="do|caIII|si2|ar15|al1|pt8"/>
      <w:bookmarkEnd w:id="28"/>
      <w:r>
        <w:rPr>
          <w:rStyle w:val="tpt1"/>
          <w:rFonts w:eastAsia="Arial" w:cs="Arial" w:ascii="Arial" w:hAnsi="Arial"/>
          <w:color w:val="auto"/>
          <w:spacing w:val="0"/>
          <w:w w:val="100"/>
          <w:sz w:val="20"/>
          <w:szCs w:val="20"/>
          <w:lang w:val="ro-RO"/>
        </w:rPr>
        <w:t>elaborarea programului de instruire-testare la nivelul unității;</w:t>
      </w:r>
    </w:p>
    <w:p>
      <w:pPr>
        <w:pStyle w:val="Normal"/>
        <w:widowControl/>
        <w:numPr>
          <w:ilvl w:val="0"/>
          <w:numId w:val="23"/>
        </w:numPr>
        <w:spacing w:before="0" w:after="40"/>
        <w:jc w:val="left"/>
        <w:rPr>
          <w:rFonts w:ascii="Arial" w:hAnsi="Arial" w:cs="Arial"/>
          <w:sz w:val="18"/>
          <w:szCs w:val="18"/>
          <w:lang w:val="ro-RO"/>
        </w:rPr>
      </w:pPr>
      <w:bookmarkStart w:id="29" w:name="do|caIII|si2|ar15|al1|pt9"/>
      <w:bookmarkEnd w:id="29"/>
      <w:r>
        <w:rPr>
          <w:rStyle w:val="tpt1"/>
          <w:rFonts w:eastAsia="Arial" w:cs="Arial" w:ascii="Arial" w:hAnsi="Arial"/>
          <w:color w:val="auto"/>
          <w:spacing w:val="0"/>
          <w:w w:val="100"/>
          <w:sz w:val="20"/>
          <w:szCs w:val="20"/>
          <w:lang w:val="ro-RO"/>
        </w:rPr>
        <w:t>asigurarea întocmirii planului de acțiune în caz de pericol grav și iminent, și asigurarea ca toți lucrătorii să fie instruiți pentru aplicarea lui;</w:t>
      </w:r>
    </w:p>
    <w:p>
      <w:pPr>
        <w:pStyle w:val="Normal"/>
        <w:widowControl/>
        <w:numPr>
          <w:ilvl w:val="0"/>
          <w:numId w:val="23"/>
        </w:numPr>
        <w:spacing w:before="0" w:after="40"/>
        <w:jc w:val="left"/>
        <w:rPr>
          <w:rFonts w:ascii="Arial" w:hAnsi="Arial" w:cs="Arial"/>
          <w:sz w:val="18"/>
          <w:szCs w:val="18"/>
          <w:lang w:val="it-CH"/>
        </w:rPr>
      </w:pPr>
      <w:bookmarkStart w:id="30" w:name="do|caIII|si2|ar15|al1|pt10"/>
      <w:bookmarkEnd w:id="30"/>
      <w:r>
        <w:rPr>
          <w:rStyle w:val="tpt1"/>
          <w:rFonts w:eastAsia="Arial" w:cs="Arial" w:ascii="Arial" w:hAnsi="Arial"/>
          <w:color w:val="auto"/>
          <w:spacing w:val="0"/>
          <w:w w:val="100"/>
          <w:sz w:val="20"/>
          <w:szCs w:val="20"/>
          <w:lang w:val="ro-RO"/>
        </w:rPr>
        <w:t>evidența zonelor cu risc ridicat și specific;</w:t>
      </w:r>
    </w:p>
    <w:p>
      <w:pPr>
        <w:pStyle w:val="Normal"/>
        <w:widowControl/>
        <w:numPr>
          <w:ilvl w:val="0"/>
          <w:numId w:val="23"/>
        </w:numPr>
        <w:spacing w:before="0" w:after="40"/>
        <w:jc w:val="left"/>
        <w:rPr>
          <w:rFonts w:ascii="Arial" w:hAnsi="Arial" w:cs="Arial"/>
          <w:sz w:val="18"/>
          <w:szCs w:val="18"/>
          <w:lang w:val="fr-FR"/>
        </w:rPr>
      </w:pPr>
      <w:bookmarkStart w:id="31" w:name="do|caIII|si2|ar15|al1|pt11"/>
      <w:bookmarkEnd w:id="31"/>
      <w:r>
        <w:rPr>
          <w:rStyle w:val="tpt1"/>
          <w:rFonts w:eastAsia="Arial" w:cs="Arial" w:ascii="Arial" w:hAnsi="Arial"/>
          <w:color w:val="auto"/>
          <w:spacing w:val="0"/>
          <w:w w:val="100"/>
          <w:sz w:val="20"/>
          <w:szCs w:val="20"/>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0"/>
          <w:numId w:val="23"/>
        </w:numPr>
        <w:spacing w:before="0" w:after="40"/>
        <w:jc w:val="left"/>
        <w:rPr>
          <w:rFonts w:ascii="Arial" w:hAnsi="Arial" w:cs="Arial"/>
          <w:b/>
          <w:sz w:val="18"/>
          <w:szCs w:val="18"/>
          <w:lang w:val="pt-PT"/>
        </w:rPr>
      </w:pPr>
      <w:bookmarkStart w:id="32" w:name="do|caIII|si2|ar15|al1|pt12"/>
      <w:bookmarkEnd w:id="32"/>
      <w:r>
        <w:rPr>
          <w:rStyle w:val="tpt1"/>
          <w:rFonts w:eastAsia="Arial" w:cs="Arial" w:ascii="Arial" w:hAnsi="Arial"/>
          <w:color w:val="auto"/>
          <w:spacing w:val="0"/>
          <w:w w:val="100"/>
          <w:sz w:val="20"/>
          <w:szCs w:val="20"/>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3" w:name="do|caIII|si2|ar15|al1|pt13"/>
      <w:bookmarkEnd w:id="33"/>
      <w:r>
        <w:rPr>
          <w:rStyle w:val="tpt1"/>
          <w:rFonts w:eastAsia="Arial" w:cs="Arial" w:ascii="Arial" w:hAnsi="Arial"/>
          <w:color w:val="auto"/>
          <w:spacing w:val="0"/>
          <w:w w:val="100"/>
          <w:sz w:val="20"/>
          <w:szCs w:val="20"/>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4" w:name="do|caIII|si2|ar15|al1|pt14"/>
      <w:bookmarkEnd w:id="34"/>
      <w:r>
        <w:rPr>
          <w:rStyle w:val="tpt1"/>
          <w:rFonts w:eastAsia="Arial" w:cs="Arial" w:ascii="Arial" w:hAnsi="Arial"/>
          <w:color w:val="auto"/>
          <w:spacing w:val="0"/>
          <w:w w:val="100"/>
          <w:sz w:val="20"/>
          <w:szCs w:val="20"/>
          <w:lang w:val="ro-RO"/>
        </w:rPr>
        <w:t>evidența posturilor de lucru care, la recomandarea medicului de medicina muncii, necesită testarea aptitudinilor și/ sau control psihologic periodic;</w:t>
      </w:r>
    </w:p>
    <w:p>
      <w:pPr>
        <w:pStyle w:val="Normal"/>
        <w:widowControl/>
        <w:numPr>
          <w:ilvl w:val="0"/>
          <w:numId w:val="23"/>
        </w:numPr>
        <w:spacing w:before="0" w:after="40"/>
        <w:jc w:val="left"/>
        <w:rPr>
          <w:rFonts w:ascii="Arial" w:hAnsi="Arial" w:cs="Arial"/>
          <w:sz w:val="18"/>
          <w:szCs w:val="18"/>
          <w:lang w:val="pt-PT"/>
        </w:rPr>
      </w:pPr>
      <w:bookmarkStart w:id="35" w:name="do|caIII|si2|ar15|al1|pt15"/>
      <w:bookmarkEnd w:id="35"/>
      <w:r>
        <w:rPr>
          <w:rStyle w:val="tpt1"/>
          <w:rFonts w:eastAsia="Arial" w:cs="Arial" w:ascii="Arial" w:hAnsi="Arial"/>
          <w:color w:val="auto"/>
          <w:spacing w:val="0"/>
          <w:w w:val="100"/>
          <w:sz w:val="20"/>
          <w:szCs w:val="20"/>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0"/>
          <w:numId w:val="23"/>
        </w:numPr>
        <w:spacing w:before="0" w:after="40"/>
        <w:jc w:val="left"/>
        <w:rPr>
          <w:rFonts w:ascii="Arial" w:hAnsi="Arial" w:cs="Arial"/>
          <w:sz w:val="18"/>
          <w:szCs w:val="18"/>
          <w:lang w:val="pt-PT"/>
        </w:rPr>
      </w:pPr>
      <w:bookmarkStart w:id="36" w:name="do|caIII|si2|ar15|al1|pt16"/>
      <w:bookmarkEnd w:id="36"/>
      <w:r>
        <w:rPr>
          <w:rStyle w:val="tpt1"/>
          <w:rFonts w:eastAsia="Arial" w:cs="Arial" w:ascii="Arial" w:hAnsi="Arial"/>
          <w:color w:val="auto"/>
          <w:spacing w:val="0"/>
          <w:w w:val="100"/>
          <w:sz w:val="20"/>
          <w:szCs w:val="20"/>
          <w:lang w:val="ro-RO"/>
        </w:rPr>
        <w:t>verificarea stării de funcționare a sistemelor de alarmare, avertizare, semnalizare de urgență, precum și a sistemelor de siguranță;</w:t>
      </w:r>
    </w:p>
    <w:p>
      <w:pPr>
        <w:pStyle w:val="Normal"/>
        <w:widowControl/>
        <w:numPr>
          <w:ilvl w:val="0"/>
          <w:numId w:val="23"/>
        </w:numPr>
        <w:spacing w:before="0" w:after="40"/>
        <w:jc w:val="left"/>
        <w:rPr>
          <w:rFonts w:ascii="Arial" w:hAnsi="Arial" w:cs="Arial"/>
          <w:sz w:val="18"/>
          <w:szCs w:val="18"/>
          <w:lang w:val="pt-PT"/>
        </w:rPr>
      </w:pPr>
      <w:bookmarkStart w:id="37" w:name="do|caIII|si2|ar15|al1|pt17"/>
      <w:bookmarkEnd w:id="37"/>
      <w:r>
        <w:rPr>
          <w:rStyle w:val="tpt1"/>
          <w:rFonts w:eastAsia="Arial" w:cs="Arial" w:ascii="Arial" w:hAnsi="Arial"/>
          <w:bCs/>
          <w:color w:val="auto"/>
          <w:spacing w:val="0"/>
          <w:w w:val="100"/>
          <w:sz w:val="20"/>
          <w:szCs w:val="20"/>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8" w:name="do|caIII|si2|ar15|al1|pt18"/>
      <w:bookmarkEnd w:id="38"/>
      <w:r>
        <w:rPr>
          <w:rStyle w:val="tpt1"/>
          <w:rFonts w:eastAsia="Arial" w:cs="Arial" w:ascii="Arial" w:hAnsi="Arial"/>
          <w:color w:val="auto"/>
          <w:spacing w:val="0"/>
          <w:w w:val="100"/>
          <w:sz w:val="20"/>
          <w:szCs w:val="20"/>
          <w:lang w:val="ro-RO"/>
        </w:rPr>
        <w:t xml:space="preserve">întocmirea rapoartelor și/ sau a listelor prevăzute de hotărârile Guvernului emise în temeiul art. 51 alin. (1) lit. b) din Legea 319/ 2006, inclusiv cele referitoare la azbest, vibrații, zgomot și șantiere temporare și mobile;</w:t>
      </w:r>
    </w:p>
    <w:p>
      <w:pPr>
        <w:pStyle w:val="Normal"/>
        <w:widowControl/>
        <w:numPr>
          <w:ilvl w:val="0"/>
          <w:numId w:val="23"/>
        </w:numPr>
        <w:spacing w:before="0" w:after="40"/>
        <w:jc w:val="left"/>
        <w:rPr>
          <w:rFonts w:ascii="Arial" w:hAnsi="Arial" w:cs="Arial"/>
          <w:sz w:val="18"/>
          <w:szCs w:val="18"/>
          <w:lang w:val="pt-PT"/>
        </w:rPr>
      </w:pPr>
      <w:bookmarkStart w:id="39" w:name="do|caIII|si2|ar15|al1|pt19"/>
      <w:bookmarkEnd w:id="39"/>
      <w:r>
        <w:rPr>
          <w:rStyle w:val="tpt1"/>
          <w:rFonts w:eastAsia="Arial" w:cs="Arial" w:ascii="Arial" w:hAnsi="Arial"/>
          <w:color w:val="auto"/>
          <w:spacing w:val="0"/>
          <w:w w:val="100"/>
          <w:sz w:val="20"/>
          <w:szCs w:val="20"/>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0"/>
          <w:numId w:val="23"/>
        </w:numPr>
        <w:spacing w:before="0" w:after="40"/>
        <w:jc w:val="left"/>
        <w:rPr>
          <w:rFonts w:ascii="Arial" w:hAnsi="Arial" w:cs="Arial"/>
          <w:sz w:val="18"/>
          <w:szCs w:val="18"/>
          <w:lang w:val="pt-PT"/>
        </w:rPr>
      </w:pPr>
      <w:bookmarkStart w:id="40" w:name="do|caIII|si2|ar15|al1|pt20"/>
      <w:bookmarkEnd w:id="40"/>
      <w:r>
        <w:rPr>
          <w:rStyle w:val="tpt1"/>
          <w:rFonts w:eastAsia="Arial" w:cs="Arial" w:ascii="Arial" w:hAnsi="Arial"/>
          <w:color w:val="auto"/>
          <w:spacing w:val="0"/>
          <w:w w:val="100"/>
          <w:sz w:val="20"/>
          <w:szCs w:val="20"/>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0"/>
          <w:numId w:val="23"/>
        </w:numPr>
        <w:spacing w:before="0" w:after="40"/>
        <w:jc w:val="left"/>
        <w:rPr>
          <w:rFonts w:ascii="Arial" w:hAnsi="Arial" w:cs="Arial"/>
          <w:sz w:val="18"/>
          <w:szCs w:val="18"/>
          <w:lang w:val="pt-PT"/>
        </w:rPr>
      </w:pPr>
      <w:bookmarkStart w:id="41" w:name="do|caIII|si2|ar15|al1|pt21"/>
      <w:bookmarkEnd w:id="41"/>
      <w:r>
        <w:rPr>
          <w:rStyle w:val="tpt1"/>
          <w:rFonts w:eastAsia="Arial" w:cs="Arial" w:ascii="Arial" w:hAnsi="Arial"/>
          <w:color w:val="auto"/>
          <w:spacing w:val="0"/>
          <w:w w:val="100"/>
          <w:sz w:val="20"/>
          <w:szCs w:val="20"/>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0"/>
          <w:numId w:val="23"/>
        </w:numPr>
        <w:spacing w:before="0" w:after="40"/>
        <w:jc w:val="left"/>
        <w:rPr>
          <w:rFonts w:ascii="Arial" w:hAnsi="Arial" w:cs="Arial"/>
          <w:sz w:val="18"/>
          <w:szCs w:val="18"/>
        </w:rPr>
      </w:pPr>
      <w:bookmarkStart w:id="42" w:name="do|caIII|si2|ar15|al1|pt22"/>
      <w:bookmarkEnd w:id="42"/>
      <w:r>
        <w:rPr>
          <w:rStyle w:val="tpt1"/>
          <w:rFonts w:eastAsia="Arial" w:cs="Arial" w:ascii="Arial" w:hAnsi="Arial"/>
          <w:color w:val="auto"/>
          <w:spacing w:val="0"/>
          <w:w w:val="100"/>
          <w:sz w:val="20"/>
          <w:szCs w:val="20"/>
          <w:lang w:val="ro-RO"/>
        </w:rPr>
        <w:t>participarea la cercetarea evenimentelor;</w:t>
      </w:r>
    </w:p>
    <w:p>
      <w:pPr>
        <w:pStyle w:val="Normal"/>
        <w:widowControl/>
        <w:numPr>
          <w:ilvl w:val="0"/>
          <w:numId w:val="23"/>
        </w:numPr>
        <w:spacing w:before="0" w:after="40"/>
        <w:jc w:val="left"/>
        <w:rPr>
          <w:rFonts w:ascii="Arial" w:hAnsi="Arial" w:cs="Arial"/>
          <w:sz w:val="18"/>
          <w:szCs w:val="18"/>
        </w:rPr>
      </w:pPr>
      <w:bookmarkStart w:id="43" w:name="do|caIII|si2|ar15|al1|pt23"/>
      <w:bookmarkEnd w:id="43"/>
      <w:r>
        <w:rPr>
          <w:rStyle w:val="tpt1"/>
          <w:rFonts w:eastAsia="Arial" w:cs="Arial" w:ascii="Arial" w:hAnsi="Arial"/>
          <w:color w:val="auto"/>
          <w:spacing w:val="0"/>
          <w:w w:val="100"/>
          <w:sz w:val="20"/>
          <w:szCs w:val="20"/>
          <w:lang w:val="ro-RO"/>
        </w:rPr>
        <w:t>întocmirea evidențelor;</w:t>
      </w:r>
    </w:p>
    <w:p>
      <w:pPr>
        <w:pStyle w:val="Normal"/>
        <w:widowControl/>
        <w:numPr>
          <w:ilvl w:val="0"/>
          <w:numId w:val="23"/>
        </w:numPr>
        <w:spacing w:before="0" w:after="40"/>
        <w:jc w:val="left"/>
        <w:rPr>
          <w:rFonts w:ascii="Arial" w:hAnsi="Arial" w:cs="Arial"/>
          <w:sz w:val="18"/>
          <w:szCs w:val="18"/>
          <w:lang w:val="it-IT"/>
        </w:rPr>
      </w:pPr>
      <w:bookmarkStart w:id="44" w:name="do|caIII|si2|ar15|al1|pt24"/>
      <w:bookmarkEnd w:id="44"/>
      <w:r>
        <w:rPr>
          <w:rStyle w:val="tpt1"/>
          <w:rFonts w:eastAsia="Arial" w:cs="Arial" w:ascii="Arial" w:hAnsi="Arial"/>
          <w:color w:val="auto"/>
          <w:spacing w:val="0"/>
          <w:w w:val="100"/>
          <w:sz w:val="20"/>
          <w:szCs w:val="20"/>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 xml:space="preserve">art. 12 alin. (1) lit. d) din Legea 319/ 2006</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45" w:name="do|caIII|si2|ar15|al1|pt25"/>
      <w:bookmarkEnd w:id="45"/>
      <w:r>
        <w:rPr>
          <w:rStyle w:val="tpt1"/>
          <w:rFonts w:eastAsia="Arial" w:cs="Arial" w:ascii="Arial" w:hAnsi="Arial"/>
          <w:color w:val="auto"/>
          <w:spacing w:val="0"/>
          <w:w w:val="100"/>
          <w:sz w:val="20"/>
          <w:szCs w:val="20"/>
          <w:lang w:val="ro-RO"/>
        </w:rPr>
        <w:t>urmărirea realizării măsurilor dispuse de către inspectorii de muncă, cu prilejul vizitelor de control și al cercetării evenimentelor;</w:t>
      </w:r>
    </w:p>
    <w:p>
      <w:pPr>
        <w:pStyle w:val="Normal"/>
        <w:widowControl/>
        <w:numPr>
          <w:ilvl w:val="0"/>
          <w:numId w:val="23"/>
        </w:numPr>
        <w:spacing w:before="0" w:after="40"/>
        <w:jc w:val="left"/>
        <w:rPr>
          <w:rFonts w:ascii="Arial" w:hAnsi="Arial" w:cs="Arial"/>
          <w:sz w:val="18"/>
          <w:szCs w:val="18"/>
          <w:lang w:val="pt-PT"/>
        </w:rPr>
      </w:pPr>
      <w:bookmarkStart w:id="46" w:name="do|caIII|si2|ar15|al1|pt26"/>
      <w:bookmarkEnd w:id="46"/>
      <w:r>
        <w:rPr>
          <w:rStyle w:val="tpt1"/>
          <w:rFonts w:eastAsia="Arial" w:cs="Arial" w:ascii="Arial" w:hAnsi="Arial"/>
          <w:color w:val="auto"/>
          <w:spacing w:val="0"/>
          <w:w w:val="100"/>
          <w:sz w:val="20"/>
          <w:szCs w:val="20"/>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0"/>
          <w:numId w:val="23"/>
        </w:numPr>
        <w:spacing w:before="0" w:after="40"/>
        <w:jc w:val="left"/>
        <w:rPr>
          <w:rFonts w:ascii="Arial" w:hAnsi="Arial" w:cs="Arial"/>
          <w:sz w:val="18"/>
          <w:szCs w:val="18"/>
          <w:lang w:val="pt-PT"/>
        </w:rPr>
      </w:pPr>
      <w:bookmarkStart w:id="47" w:name="do|caIII|si2|ar15|al1|pt27"/>
      <w:bookmarkEnd w:id="47"/>
      <w:r>
        <w:rPr>
          <w:rStyle w:val="tpt1"/>
          <w:rFonts w:eastAsia="Arial" w:cs="Arial" w:ascii="Arial" w:hAnsi="Arial"/>
          <w:color w:val="auto"/>
          <w:spacing w:val="0"/>
          <w:w w:val="100"/>
          <w:sz w:val="20"/>
          <w:szCs w:val="20"/>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0"/>
          <w:numId w:val="23"/>
        </w:numPr>
        <w:spacing w:before="0" w:after="40"/>
        <w:jc w:val="left"/>
        <w:rPr>
          <w:rFonts w:ascii="Arial" w:hAnsi="Arial" w:cs="Arial"/>
          <w:sz w:val="18"/>
          <w:szCs w:val="18"/>
          <w:lang w:val="pt-PT"/>
        </w:rPr>
      </w:pPr>
      <w:bookmarkStart w:id="48" w:name="do|caIII|si2|ar15|al1|pt28"/>
      <w:bookmarkEnd w:id="48"/>
      <w:r>
        <w:rPr>
          <w:rStyle w:val="tpt1"/>
          <w:rFonts w:eastAsia="Arial" w:cs="Arial" w:ascii="Arial" w:hAnsi="Arial"/>
          <w:color w:val="auto"/>
          <w:spacing w:val="0"/>
          <w:w w:val="100"/>
          <w:sz w:val="20"/>
          <w:szCs w:val="20"/>
          <w:lang w:val="ro-RO"/>
        </w:rPr>
        <w:t>urmărirea actualizării planului de avertizare, a planului de protecție și prevenire și a planului de evacuare;</w:t>
      </w:r>
    </w:p>
    <w:p>
      <w:pPr>
        <w:pStyle w:val="Normal"/>
        <w:widowControl/>
        <w:numPr>
          <w:ilvl w:val="0"/>
          <w:numId w:val="23"/>
        </w:numPr>
        <w:spacing w:before="0" w:after="40"/>
        <w:jc w:val="left"/>
        <w:rPr>
          <w:rFonts w:ascii="Arial" w:hAnsi="Arial" w:cs="Arial"/>
          <w:sz w:val="18"/>
          <w:szCs w:val="18"/>
          <w:lang w:val="pt-PT"/>
        </w:rPr>
      </w:pPr>
      <w:bookmarkStart w:id="49" w:name="do|caIII|si2|ar15|al1|pt29"/>
      <w:bookmarkEnd w:id="49"/>
      <w:r>
        <w:rPr>
          <w:rStyle w:val="tpt1"/>
          <w:rFonts w:eastAsia="Arial" w:cs="Arial" w:ascii="Arial" w:hAnsi="Arial"/>
          <w:bCs/>
          <w:color w:val="auto"/>
          <w:spacing w:val="0"/>
          <w:w w:val="100"/>
          <w:sz w:val="20"/>
          <w:szCs w:val="20"/>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50" w:name="do|caIII|si2|ar15|al1|pt30"/>
      <w:bookmarkEnd w:id="50"/>
      <w:r>
        <w:rPr>
          <w:rStyle w:val="tpt1"/>
          <w:rFonts w:eastAsia="Arial" w:cs="Arial" w:ascii="Arial" w:hAnsi="Arial"/>
          <w:color w:val="auto"/>
          <w:spacing w:val="0"/>
          <w:w w:val="100"/>
          <w:sz w:val="20"/>
          <w:szCs w:val="20"/>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0"/>
          <w:numId w:val="23"/>
        </w:numPr>
        <w:spacing w:before="0" w:after="40"/>
        <w:jc w:val="left"/>
        <w:rPr>
          <w:rStyle w:val="tpt1"/>
          <w:rFonts w:ascii="Arial" w:hAnsi="Arial" w:cs="Arial"/>
          <w:sz w:val="18"/>
          <w:szCs w:val="18"/>
          <w:lang w:val="es-ES_tradnl"/>
        </w:rPr>
      </w:pPr>
      <w:bookmarkStart w:id="51" w:name="do|caIII|si2|ar15|al1|pt31"/>
      <w:bookmarkEnd w:id="51"/>
      <w:r>
        <w:rPr>
          <w:rStyle w:val="tpt1"/>
          <w:rFonts w:eastAsia="Arial" w:cs="Arial" w:ascii="Arial" w:hAnsi="Arial"/>
          <w:color w:val="auto"/>
          <w:spacing w:val="0"/>
          <w:w w:val="100"/>
          <w:sz w:val="20"/>
          <w:szCs w:val="20"/>
          <w:lang w:val="ro-RO"/>
        </w:rPr>
        <w:t>întocmirea unui necesar de mijloace materiale pentru desfășurarea acestor activități;</w:t>
      </w:r>
    </w:p>
    <w:p>
      <w:pPr>
        <w:pStyle w:val="Normal"/>
        <w:widowControl/>
        <w:numPr>
          <w:ilvl w:val="0"/>
          <w:numId w:val="23"/>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asigurarea/urmărirea ca verificările și/sau încercările periodice ale echipamentelor de muncă să fie efectuate la timp și de către persoane competente ori alte activități necesare, potrivit prevederilor Hotărârii Guvernului nr.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0"/>
          <w:numId w:val="23"/>
        </w:numPr>
        <w:spacing w:before="0" w:after="12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alte activități necesare/ specifice asigurării securității și sănătății lucrătorilor la locul de muncă.</w:t>
      </w:r>
    </w:p>
    <w:p>
      <w:pPr>
        <w:pStyle w:val="Normal"/>
        <w:keepNext w:val="true"/>
        <w:widowControl/>
        <w:tabs>
          <w:tab w:val="clear" w:pos="720"/>
          <w:tab w:val="left" w:pos="567" w:leader="none"/>
        </w:tabs>
        <w:spacing w:before="240" w:after="120"/>
        <w:ind w:hanging="0"/>
        <w:jc w:val="center"/>
        <w:rPr>
          <w:rStyle w:val="tpt1"/>
          <w:rFonts w:ascii="Arial" w:hAnsi="Arial" w:cs="Arial"/>
          <w:b/>
          <w:sz w:val="18"/>
          <w:szCs w:val="18"/>
          <w:lang w:val="fr-FR"/>
        </w:rPr>
      </w:pPr>
      <w:r>
        <w:rPr>
          <w:rFonts w:eastAsia="Arial" w:cs="Arial" w:ascii="Arial" w:hAnsi="Arial"/>
          <w:b/>
          <w:color w:val="auto"/>
          <w:spacing w:val="0"/>
          <w:w w:val="100"/>
          <w:sz w:val="20"/>
          <w:szCs w:val="20"/>
          <w:lang w:val="ro-RO"/>
        </w:rPr>
        <w:t xml:space="preserve">Capitolul XI. Informații privind </w:t>
      </w:r>
      <w:r>
        <w:rPr>
          <w:rStyle w:val="tpt1"/>
          <w:rFonts w:eastAsia="Arial" w:cs="Arial" w:ascii="Arial" w:hAnsi="Arial"/>
          <w:b/>
          <w:color w:val="auto"/>
          <w:spacing w:val="0"/>
          <w:w w:val="100"/>
          <w:sz w:val="20"/>
          <w:szCs w:val="20"/>
          <w:lang w:val="ro-RO"/>
        </w:rPr>
        <w:t>întocmirea regulamentului intern</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Sănătate și securitate în muncă, medicina muncii, situații de urgență și igiena muncii</w:t>
      </w:r>
      <w:r>
        <w:rPr>
          <w:rFonts w:eastAsia="Arial" w:cs="Arial" w:ascii="Arial" w:hAnsi="Arial"/>
          <w:color w:val="auto"/>
          <w:spacing w:val="0"/>
          <w:w w:val="100"/>
          <w:sz w:val="20"/>
          <w:szCs w:val="20"/>
          <w:lang w:val="ro-RO"/>
        </w:rPr>
        <w:t>:</w:t>
      </w:r>
    </w:p>
    <w:p>
      <w:pPr>
        <w:pStyle w:val="BodyTextIndent"/>
        <w:widowControl/>
        <w:numPr>
          <w:ilvl w:val="0"/>
          <w:numId w:val="7"/>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Angajatorul are obligația potrivit Legii 319/2006 să ia toate măsurile necesare pentru protejarea vieții și sănătății salariaților, pentru prevenirea riscurilor profesionale, pentru informarea și pregătirea lucrătorilor cu privire la aceste riscuri, organizarea securității și sănătății în muncă și a mijloacelor necesare acesteia.</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Măsurile privind securitatea și sănătatea în muncă nu pot să determine obligații financiare pentru lucrători.</w:t>
      </w:r>
    </w:p>
    <w:p>
      <w:pPr>
        <w:pStyle w:val="Normal"/>
        <w:keepNext/>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Instrucțiunile proprii și normativele interne de securitate și sănătate a muncii stabilesc:</w:t>
      </w:r>
    </w:p>
    <w:p>
      <w:pPr>
        <w:pStyle w:val="Normal"/>
        <w:widowControl/>
        <w:numPr>
          <w:ilvl w:val="0"/>
          <w:numId w:val="16"/>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măsuri interne de securitate și sănătate a muncii pentru prevenirea accidentelor de muncă și a bolilor profesionale aplicabile tuturor lucrătorilor;</w:t>
      </w:r>
    </w:p>
    <w:p>
      <w:pPr>
        <w:pStyle w:val="Normal"/>
        <w:widowControl/>
        <w:numPr>
          <w:ilvl w:val="0"/>
          <w:numId w:val="16"/>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echipamentul de lucru și de protecție pe meserii și posturi de lucru.</w:t>
      </w:r>
    </w:p>
    <w:p>
      <w:pPr>
        <w:pStyle w:val="Heading4"/>
        <w:widowControl/>
        <w:numPr>
          <w:ilvl w:val="0"/>
          <w:numId w:val="7"/>
        </w:numPr>
        <w:spacing w:before="0" w:after="40"/>
        <w:ind w:right="0"/>
        <w:jc w:val="left"/>
        <w:rPr>
          <w:rFonts w:ascii="Arial" w:hAnsi="Arial" w:cs="Arial"/>
          <w:b w:val="false"/>
          <w:bCs/>
          <w:sz w:val="18"/>
          <w:szCs w:val="18"/>
          <w:lang w:val="it-IT"/>
        </w:rPr>
      </w:pPr>
      <w:r>
        <w:rPr>
          <w:rFonts w:eastAsia="Arial" w:cs="Arial" w:ascii="Arial" w:hAnsi="Arial"/>
          <w:b w:val="false"/>
          <w:bCs/>
          <w:color w:val="auto"/>
          <w:spacing w:val="0"/>
          <w:w w:val="100"/>
          <w:sz w:val="20"/>
          <w:szCs w:val="20"/>
          <w:lang w:val="ro-RO"/>
        </w:rPr>
        <w:t>Angajatorul are următoarele obligații în domeniul securității și sănătății muncii:</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evaluarea riscurilor pentru securitatea și sănătatea lucrătorilor în vederea stabilirii măsurilor de prevenire, incluzând echipamentul și amenajarea locului de muncă etc.;</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dispună evaluarea riscurilor de accidentare și îmbolnăvire profesională pentru toate locurile de muncă;</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solicite autorizarea funcționării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xml:space="preserve"> din punct de vedere al securității muncii, să mențină condițiile de lucru pentru care s-a obținut autorizație și să ceară revizuirea acesteia în cazul modificării condițiilor inițiale pentru care a fost emisă;</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stabilească măsurile tehnice și organizatorice de securitate a muncii, corespunzător condițiilor de muncă și factorilor de risc evaluați la locurile de muncă, pentru asigurarea securității și sănătății angajaților;</w:t>
      </w:r>
    </w:p>
    <w:p>
      <w:pPr>
        <w:pStyle w:val="Normal"/>
        <w:keepNext/>
        <w:widowControl/>
        <w:numPr>
          <w:ilvl w:val="0"/>
          <w:numId w:val="44"/>
        </w:numPr>
        <w:spacing w:before="0" w:after="12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w:t>
      </w:r>
      <w:r>
        <w:rPr>
          <w:rFonts w:eastAsia="Arial" w:cs="Arial" w:ascii="Arial" w:hAnsi="Arial"/>
          <w:bCs/>
          <w:color w:val="auto"/>
          <w:spacing w:val="0"/>
          <w:w w:val="100"/>
          <w:sz w:val="20"/>
          <w:szCs w:val="20"/>
          <w:lang w:val="ro-RO"/>
        </w:rPr>
        <w:t>ă asigure instruirea lucrătorilor în domeniul securității și sănătății în muncă. Aceasta este obligatorie pentru următoarele situații: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lucrătorii nou angajați;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 xml:space="preserve">lucrătorii care își schimbă locul de muncă sau felul muncii sau își reiau activitatea după o întrerupere mai mare de 6 luni;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lucrători terți;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studenți în practică.</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În toate aceste situații instruirea se realizează înainte de începerea efectivă a activității.</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 xml:space="preserve">Instruirea lucrătorilor este obligatorie și în situația în care intervin modificări ale legislației în domeniu, se introduce aparatura nouă în domeniul tehnicii de calcul sau alte domenii noi de activitate în cadrul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sau se schimbă procesul tehnologic.</w:t>
      </w:r>
    </w:p>
    <w:p>
      <w:pPr>
        <w:pStyle w:val="Normal"/>
        <w:keepNext/>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Astfel lucrătorul desemnat sau serviciul extern va trebui să:</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stabilească în fișa postului atribuțiile și răspunderea angajaților în domeniul securității muncii, corespunzător funcțiilor exercitate;</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elaboreze instrucțiuni proprii de securitate a muncii, care să detalieze și să particularizeze normele specifice securității și sănătății muncii;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și să controleze, prin personal propriu, cunoașterea și aplicarea de către toți angajații a măsurilor tehnice și organizatorice stabilite, precum și a prevederilor legale în domeniul securității muncii;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pentru angajații cu contract de muncă pe durată determinată același nivel de protecție de care beneficiază ceilalți angajați ai unității;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ia măsuri pentru asigurarea de materiale necesare informării și educării angajaților: afișe, filme, cărți, broșuri, pliante, acte normative, manuale, teste, fișe tehnice de securitate etc.;</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informarea fiecărei persoane, anterior angajării, asupra riscurilor la care aceasta va fi expusă, precum și asupra măsurilor tehnice și organizatorice de prevenire necesare;</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măsurile necesare pentru informarea angajatorilor din orice unitate exterioară, ai căror angajați lucrează în unitatea sa, referitor la riscurile pentru securitate și sănătate la care aceștia pot fi expuși, precum și măsurile de prevenire și protecție adoptate la nivel de unitate și loc de muncă, inclusiv cele referitoare la primul ajutor, prevenirea și stingerea incendiilor și evacuarea în caz de urgență;</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să angajeze numai persoane care, în urma controlului medical și al verificării aptitudinilor psihoprofesionale, corespund sarcinilor de muncă pe care urmează să le efectueze;</w:t>
      </w:r>
    </w:p>
    <w:p>
      <w:pPr>
        <w:pStyle w:val="Normal"/>
        <w:keepNext/>
        <w:widowControl/>
        <w:numPr>
          <w:ilvl w:val="0"/>
          <w:numId w:val="10"/>
        </w:numPr>
        <w:spacing w:before="0" w:after="120"/>
        <w:ind w:hanging="360" w:left="108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să asigure efectuarea și plata contravalorii:</w:t>
      </w:r>
    </w:p>
    <w:p>
      <w:pPr>
        <w:pStyle w:val="Normal"/>
        <w:widowControl/>
        <w:numPr>
          <w:ilvl w:val="1"/>
          <w:numId w:val="10"/>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examenului medical la angajarea în muncă;</w:t>
      </w:r>
    </w:p>
    <w:p>
      <w:pPr>
        <w:pStyle w:val="Normal"/>
        <w:widowControl/>
        <w:numPr>
          <w:ilvl w:val="1"/>
          <w:numId w:val="10"/>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controlului medical periodic;</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Aceste examene și controale medicale se vor efectua potrivit reglementărilor legale.</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ia măsurile necesare informării compartimentului de securitate a muncii sau lucrătorului desemnat despre angajații care au relații de muncă cu durată determinată sau cu caracter interimar, pentru ca aceștia să fie incluși în programul de activitate care are ca scop asigurarea condițiilor de securitate și sănătate în muncă;</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se asigure că sunt consultați angajații și/sau reprezentanții lor în problemele referitoare la măsurile și consecințele privind securitatea și sănătatea în muncă la introducerea de noi tehnologii, alegerea echipamentului tehnic, îmbunătățirea condițiilor și mediului de muncă, la desemnarea persoanelor cu atribuții privind primul ajutor, prevenirea și stingerea incendiilor, evacuarea angajaților, precum și la modul de desfășurare a activității de prevenire și protecție împotriva riscurilor profesionale, inclusiv a celei de instruire în domeniu;</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periodic sau ori de câte ori este cazul, verificarea încadrării nivelului noxelor în limitele admise, prin măsurători efectuate de către organismele abilitate (dacă este cazul);</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comunice, cerceteze, înregistreze, declare și să țină evidența accidentelor de muncă, a bolilor profesionale, a accidentelor tehnice și avariilor;</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către inspectorii de muncă în timpul controlului sau cercetării accidentelor de muncă;</w:t>
      </w:r>
    </w:p>
    <w:p>
      <w:pPr>
        <w:pStyle w:val="Normal"/>
        <w:widowControl/>
        <w:numPr>
          <w:ilvl w:val="0"/>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asigure realizarea măsurilor stabilite de inspectorii de muncă, cu ocazia controalelor și accidentelor de muncă;</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echipamentul de lucru și protecție conform normativelor interne aprobate;</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anunțe imediat producerea de avarii tehnice, evenimente, accidente de muncă sau îmbolnăviri profesionale la inspectoratul teritorial de muncă și organele de urmărire penală competente, potrivit legii;</w:t>
      </w:r>
    </w:p>
    <w:p>
      <w:pPr>
        <w:pStyle w:val="Normal"/>
        <w:widowControl/>
        <w:numPr>
          <w:ilvl w:val="0"/>
          <w:numId w:val="4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w:t>
      </w:r>
      <w:r>
        <w:rPr>
          <w:rFonts w:eastAsia="Arial" w:cs="Arial" w:ascii="Arial" w:hAnsi="Arial"/>
          <w:bCs/>
          <w:color w:val="auto"/>
          <w:spacing w:val="0"/>
          <w:w w:val="100"/>
          <w:sz w:val="20"/>
          <w:szCs w:val="20"/>
          <w:lang w:val="ro-RO"/>
        </w:rPr>
        <w:t xml:space="preserve">în cazul în care temperaturile atmosferice sau cele din spațiul de lucru sunt ridicate și pot afecta sănătatea (peste 30 °C)</w:t>
      </w:r>
      <w:r>
        <w:rPr>
          <w:rFonts w:eastAsia="Arial" w:cs="Arial" w:ascii="Arial" w:hAnsi="Arial"/>
          <w:bCs/>
          <w:color w:val="auto"/>
          <w:spacing w:val="0"/>
          <w:w w:val="100"/>
          <w:sz w:val="20"/>
          <w:szCs w:val="20"/>
          <w:lang w:val="ro-RO"/>
        </w:rPr>
        <w:t xml:space="preserve">, în funcție de posibilități, aer condiționat sau ventilație. În cazul în care acest lucru nu este posibil se va asigura un litru de apă minerală pe zi pentru fiecare salariat și/sau în raport cu timpul lucrat;</w:t>
      </w:r>
    </w:p>
    <w:p>
      <w:pPr>
        <w:pStyle w:val="Normal"/>
        <w:widowControl/>
        <w:numPr>
          <w:ilvl w:val="0"/>
          <w:numId w:val="40"/>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să întocmească evidența nominală a angajaților cu handicap și a celor cu vârsta sub 18 ani;</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securitatea și sănătatea în muncă a salariatelor gravide și/sau mame, lăuze sau care alăptează conform OUG nr. 96/2003 privind protecția maternității la locurile de muncă conform prevederilor capitolului 12.</w:t>
      </w:r>
    </w:p>
    <w:p>
      <w:pPr>
        <w:pStyle w:val="Normal"/>
        <w:keepNext/>
        <w:widowControl/>
        <w:numPr>
          <w:ilvl w:val="0"/>
          <w:numId w:val="7"/>
        </w:numPr>
        <w:spacing w:before="0" w:after="40"/>
        <w:ind w:right="-96"/>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Medicul de medicina</w:t>
      </w:r>
      <w:r>
        <w:rPr>
          <w:rFonts w:eastAsia="Arial" w:cs="Arial" w:ascii="Arial" w:hAnsi="Arial"/>
          <w:color w:val="auto"/>
          <w:spacing w:val="0"/>
          <w:w w:val="100"/>
          <w:sz w:val="20"/>
          <w:szCs w:val="20"/>
          <w:lang w:val="ro-RO"/>
        </w:rPr>
        <w:t xml:space="preserve"> muncii ce prestează aceste servicii pentru angajații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xml:space="preserve"> are următoarele atribuții profesionale:</w:t>
      </w:r>
    </w:p>
    <w:p>
      <w:pPr>
        <w:pStyle w:val="Normal"/>
        <w:widowControl/>
        <w:numPr>
          <w:ilvl w:val="0"/>
          <w:numId w:val="30"/>
        </w:numPr>
        <w:spacing w:before="0" w:after="40"/>
        <w:ind w:hanging="360" w:left="1080" w:right="-96"/>
        <w:jc w:val="left"/>
        <w:rPr>
          <w:rFonts w:ascii="Arial" w:hAnsi="Arial" w:cs="Arial"/>
          <w:sz w:val="18"/>
          <w:szCs w:val="18"/>
          <w:lang w:val="fr-FR"/>
        </w:rPr>
      </w:pPr>
      <w:r>
        <w:rPr>
          <w:rFonts w:eastAsia="Arial" w:cs="Arial" w:ascii="Arial" w:hAnsi="Arial"/>
          <w:color w:val="auto"/>
          <w:spacing w:val="0"/>
          <w:w w:val="100"/>
          <w:sz w:val="20"/>
          <w:szCs w:val="20"/>
          <w:lang w:val="ro-RO"/>
        </w:rPr>
        <w:t xml:space="preserve">să participe la evaluarea riscurilor privind îmbolnăvirile;</w:t>
      </w:r>
    </w:p>
    <w:p>
      <w:pPr>
        <w:pStyle w:val="Normal"/>
        <w:keepNext/>
        <w:widowControl/>
        <w:numPr>
          <w:ilvl w:val="0"/>
          <w:numId w:val="3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monitorizeze starea de sănătate a angajaților prin:</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examene medicale la angajarea în muncă;</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examen medical de adaptare;</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control medical periodic;</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examen medical la reluarea activității;</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îndrume activitatea de reabilitare profesională, reconversia profesională, reorientarea profesională în caz de accident de muncă, boală profesională, boală legată de profesie sau după afecțiuni cronice;</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comunice existența riscului de îmbolnăvire profesională către toți factorii implicați în procesul muncii;</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consilieze angajatorul privind adaptarea muncii și a locului de muncă la caracteristicile psihofiziologice ale angajaților;</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consilieze angajatorul pentru fundamentarea strategiei de securitate și sănătate la locul de muncă;</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participe la sistemul informațional național privind accidentele de muncă și bolile profesionale.</w:t>
      </w:r>
    </w:p>
    <w:p>
      <w:pPr>
        <w:pStyle w:val="Normal"/>
        <w:keepN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Pentru asigurarea atribuțiilor ce revin structurilor medicale de medicina muncii, angajatorul va lua următoarele măsuri:</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angajarea lucrătorilor numai după un examen medical prealabil, cu confirmarea scrisă a medicului de medicina muncii că locul de muncă sau meseria propusă nu este contraindicată din punct de vedere medical viitorului angajat;</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programarea, cu acordul personalului medical, a controlului medical periodic al lucrătorilor, potrivit reglementărilor tehnice ale Ministerului Sănătății Publice, și urmărirea efectuării integrale a acestuia;</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respectarea recomandărilor medicale rezultate în urma examenelor la angajare, a controalelor medicale de adaptare și periodice și a examenului medical la reluarea activității.</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Angajatorii nu au dreptul să intervină prin niciun mijloc în influențarea activității medicale, a conținutului acesteia, a concluziilor și măsurilor medicale stabilite.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Medicul de medicină a muncii ce prestează servicii pentru angajații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organizează primul ajutor și tratamentul de urgență și instruiește lucrătorii cu privire la aplicarea metodelor accesibile lor de prim ajutor și a procedurilor de urgență în cazul accidentelor de muncă.</w:t>
      </w:r>
    </w:p>
    <w:p>
      <w:pPr>
        <w:pStyle w:val="Normal"/>
        <w:keepN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Angajatorul va cere medicului de medicină a muncii să evalueze aptitudinea pentru muncă în relație cu starea de sănătate și să propună adaptarea muncii la posibilitățile lucrătorilor, asigurând:</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evaluarea handicapului în relație cu munca;</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managementul clinic în procesul de recuperare a capacității de muncă;</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aplicarea principiilor ergonomiei în procesul de reabilitare;</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colaborarea cu specialistul în psihologia muncii în vederea reabilitării angajaților cu probleme de sănătate mentală datorate unor factori aferenți procesului muncii și relațiilor interumane de la locul de muncă;</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măsurile adecvate privind sănătatea și securitatea în muncă a angajaților cu probleme speciale legate de utilizarea de droguri și consumul de alcool;</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consilierea în probleme de reabilitare și reangajare;</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consilierea cu privire la menținerea în muncă a angajaților vârstnici și a celor cu dizabilități;</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promovarea capacității de muncă, a sănătății, îndemânării și antrenamentului în relație cu cerințele muncii.</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Medicul de medicină a muncii consiliază angajatorul asupra unei bune adaptări a muncii la posibilitățile angajatului în circumstanțele speciale ale unor grupuri vulnerabile: femei gravide, mame în perioada de alăptare, adolescenți, vârstnici și persoane cu handicap.</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Medicul de medicina muncii și medicul cu competență de medicină a muncii sunt obligați să prezinte comitetului de securitate și sănătate în muncă, rapoarte scrise cu privire la situația stării de sănătate a angajaților în relație cu condițiile de muncă și riscurile profesionale, la acțiunile medicale întreprinse și eficiența acestora.</w:t>
      </w:r>
    </w:p>
    <w:p>
      <w:pPr>
        <w:pStyle w:val="normal1"/>
        <w:keepN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Înregistrările medicale vor fi păstrate o perioadă cel puțin egală cu durata medie de expunere-afectare a sănătății pentru fiecare categorie de risc profesional, astfel:</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serviciul de medicina muncii va păstra dosarul medical individual;</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angajatorul va păstra sinteza examinărilor medicale;</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angajatul va păstra concluzia examinării medicale.</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vederea respectării cerințelor privind asigurarea serviciului medical de medicină a muncii lucrătorii care lucrează în cadrul societății sunt obligați să efectueze un examen medical periodic ce are ca scop:</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confirmarea sau infirmarea aptitudinii în muncă pentru profesia/funcția și locul de muncă pentru care s-a făcut angajarea;</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diagnosticarea bolilor profesionale;</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diagnosticarea bolilor legate de profesie;</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depistarea bolilor care ar constitui risc pentru viață și sănătatea celorlalți angajați la același loc de muncă; depistarea bolilor care ar constitui risc pentru securitatea unității, pentru calitatea produselor sau pentru populația cu care angajatul vine în contact prin natura activității sale.</w:t>
      </w:r>
    </w:p>
    <w:p>
      <w:pPr>
        <w:pStyle w:val="Normal"/>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Pregătirea și instruirea în domeniul securității și sănătății muncii și situațiilor de urgență are ca scop însușirea cunoștințelor și formarea deprinderilor de securitate și sănătate în muncă și situațiilor de urgență.</w:t>
      </w:r>
    </w:p>
    <w:p>
      <w:pPr>
        <w:pStyle w:val="Normal"/>
        <w:keepNext/>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Instruirea privind sănătatea și securitatea muncii și situațiilor de urgență cuprinde 3 faze:</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instruirea introductiv-generală</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instruirea la locul de muncă</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instruirea periodică</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Lucrătorii care efectuează instruirea trebuie să fie specialiști în securitate și sănătate în muncă și să aibă terminate cursurile de securitatea muncii necesare nivelului cerut de lege.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Instruirea introductiv-generală se face tuturor lucrătorilor care au raporturi de muncă cu societatea fie prin angajare, fie prin detașare de la altă societate, la intrarea în societate.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Instruirea de securitate și sănătate a muncii se efectuează de către conducătorul locului de muncă sau de către serviciul extern de prevenire și protecție, potrivit tematicii de instruire.</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Instruirea introductivă durează cf. deciziei și planificării interne și în cadrul său se prezintă:</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riscurile de accidentare și îmbolnăvire profesională specifice unității;</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legislația de sănătate și securitate în muncă în vigoare;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consecințele posibile ale necunoașterii și nerespectării legislației de protecție a muncii;</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măsuri tehnico-organizatorice de prevenire, alarmare, intervenție, evacuare și prim ajutor;</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legislația de sănătate și securitate în muncă;</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instrucțiunile proprii la nivelul societății;</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regulamentul intern;</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contractul colectiv de muncă.</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Instruirea periodică se face tuturor lucrătorilor angajați sau detașați.</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Instruirea periodică se efectuează de către conducătorul locului de muncă sau de către serviciul extern de prevenire și protecție, potrivit tematicii de instruire.</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Instructajul periodic durează {{training.periodicDuration}} și va avea frecvența stabilită prin instrucțiunile proprii ale societății.</w:t>
      </w:r>
    </w:p>
    <w:p>
      <w:pPr>
        <w:pStyle w:val="Normal"/>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Prezentul capitol se completează cu prevederile Legii 319/ 2006 și H.G. 1425/ 2006.</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b/>
          <w:color w:val="auto"/>
          <w:spacing w:val="0"/>
          <w:w w:val="100"/>
          <w:sz w:val="20"/>
          <w:szCs w:val="20"/>
          <w:lang w:val="ro-RO"/>
        </w:rPr>
        <w:t>Unitatea</w:t>
      </w:r>
      <w:r>
        <w:rPr>
          <w:rFonts w:eastAsia="Arial" w:cs="Arial" w:ascii="Arial" w:hAnsi="Arial"/>
          <w:color w:val="auto"/>
          <w:spacing w:val="0"/>
          <w:w w:val="100"/>
          <w:sz w:val="20"/>
          <w:szCs w:val="20"/>
          <w:lang w:val="ro-RO"/>
        </w:rPr>
        <w:t xml:space="preserve"> are obligația de întocmire și actualizare a documentelor de organizare a activității de apărare împotriva incendiilor conform Legii 307.</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Angajatorul sau persoana desemnată de acesta are obligația de întocmire a tematicilor anuale de instruire a lucrătorilor și instruirea acestora în domeniul prevenirii și stingerii incendiilor conform Dispoziției MAI privind instruirea salariaților în domeniul situațiilor de urgență.</w:t>
      </w:r>
    </w:p>
    <w:p>
      <w:pPr>
        <w:pStyle w:val="Normal"/>
        <w:widowControl/>
        <w:numPr>
          <w:ilvl w:val="0"/>
          <w:numId w:val="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Întocmirea listei cu substanțele periculoase clasificate astfel conform legii.</w:t>
      </w:r>
    </w:p>
    <w:p>
      <w:pPr>
        <w:pStyle w:val="BodyText2"/>
        <w:widowControl/>
        <w:numPr>
          <w:ilvl w:val="0"/>
          <w:numId w:val="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Întocmirea/actualizarea planului de intervenție în caz de incendiu conform legislației actuale.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Asigurarea inscripționării cu indicatoare de avertizare a locurilor periculoase și surselor de alimentare cu apă, locului pentru fumat, căilor de evacuare etc.</w:t>
      </w:r>
    </w:p>
    <w:p>
      <w:pPr>
        <w:pStyle w:val="BodyT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Asigurarea mijloacelor tehnice, echipamentelor de protecție, substanțelor chimice de stingere care sunt specifice riscurilor care decurg din existența și funcționarea unității, precum și a medicamentelor și antidotului necesare acordării primului ajutor, conform art. 19, alin. (1), litera o din Legea nr. 307 din 12.07.2006.</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Prelucrarea actelor normative noi apărute care reglementează activitatea de apărare împotriva incendiilor, a Legii nr. 307/2006 și a altor acte normative subsecvente acesteia.</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Obligațiile și drepturile lucrătorilor privind securitatea și sănătatea în muncă: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să-și însușească și să respecte normele și instrucțiunile de securitate a muncii și măsurile de aplicare a acestora;</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corect echipamentele tehnice și celelalte mijloace și echipamente;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aducă la cunoștința conducătorului locului de muncă orice defecțiune sau altă situație care constituie un pericol de accidentare sau îmbolnăvire profesională;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oprească lucrul la apariția unui pericol iminent de producere a unui accident și să informeze imediat conducătorul locului de muncă;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refuze întemeiat executarea unei sarcini de muncă dacă aceasta ar pune în pericol de accidentare sau îmbolnăvire profesională persoana sa sau a celorlalți participanți în procesul de producție;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echipamentul individual de protecție din dotare, corespunzător scopului pentru care a fost acordat;</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au dreptul să ceară angajatorului să ia măsurile cele mai potrivite și să prezinte acestuia propunerile lor de măsuri pentru eliminarea sau reducerea riscurilor de accidente și îmbolnăvire profesională.</w:t>
      </w:r>
    </w:p>
    <w:p>
      <w:pPr>
        <w:pStyle w:val="Normal"/>
        <w:widowControl/>
        <w:numPr>
          <w:ilvl w:val="0"/>
          <w:numId w:val="7"/>
        </w:numPr>
        <w:spacing w:before="0" w:after="40"/>
        <w:jc w:val="left"/>
        <w:rPr>
          <w:rFonts w:ascii="Arial" w:hAnsi="Arial" w:cs="Arial"/>
          <w:sz w:val="18"/>
          <w:szCs w:val="18"/>
          <w:lang w:val="it-IT"/>
        </w:rPr>
      </w:pPr>
      <w:r>
        <w:rPr>
          <w:rStyle w:val="tpa1"/>
          <w:rFonts w:eastAsia="Arial" w:cs="Arial" w:ascii="Arial" w:hAnsi="Arial"/>
          <w:color w:val="auto"/>
          <w:spacing w:val="0"/>
          <w:w w:val="100"/>
          <w:sz w:val="20"/>
          <w:szCs w:val="20"/>
          <w:lang w:val="ro-RO"/>
        </w:rPr>
        <w:t xml:space="preserve">Reprezentantul lucrătorilor cu răspunderi specifice în domeniul securității și sănătății în muncă este </w:t>
      </w:r>
      <w:r>
        <w:rPr>
          <w:rFonts w:eastAsia="Arial" w:cs="Arial" w:ascii="Arial" w:hAnsi="Arial"/>
          <w:color w:val="auto"/>
          <w:spacing w:val="0"/>
          <w:w w:val="100"/>
          <w:sz w:val="20"/>
          <w:szCs w:val="20"/>
          <w:lang w:val="ro-RO"/>
        </w:rPr>
        <w:t>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7"/>
        </w:numPr>
        <w:spacing w:before="0" w:after="4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 xml:space="preserve">{{#workersRepresentativeDecision}}Reprezentanții lucrătorilor cu răspunderi specifice în domeniul securității și sănătății în muncă pentru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sunt desemnați prin decizia internă privind reprezentanții lucrătorilor.{{/workersRepresentativeDecision}}</w:t>
      </w:r>
      <w:r>
        <w:rPr>
          <w:rStyle w:val="tpa1"/>
          <w:rFonts w:eastAsia="Arial" w:cs="Arial" w:ascii="Arial" w:hAnsi="Arial"/>
          <w:color w:val="auto"/>
          <w:spacing w:val="0"/>
          <w:w w:val="100"/>
          <w:sz w:val="20"/>
          <w:szCs w:val="20"/>
          <w:lang w:val="ro-RO"/>
        </w:rPr>
        <w:t xml:space="preserve">{{^workersRepresentativeDecision}}Numărul de reprezentanți ai lucrătorilor cu răspunderi specifice în domeniul securității și sănătății în muncă pentru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nu este stabilit, deoarece nu se încadrează conform HG 1425/ 2006 art. 60, alin. (2), litera c).{{/workersRepresentativeDecision}}</w:t>
      </w:r>
    </w:p>
    <w:p>
      <w:pPr>
        <w:pStyle w:val="Normal"/>
        <w:widowControl/>
        <w:numPr>
          <w:ilvl w:val="0"/>
          <w:numId w:val="7"/>
        </w:numPr>
        <w:spacing w:before="0" w:after="4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Reprezentanții lucrătorilor cu răspunderi specifice în domeniul securității și sănătății în muncă sunt aleși de către și dintre lucrătorii din unitate, conform celor stabilite prin m</w:t>
      </w:r>
      <w:r>
        <w:rPr>
          <w:rStyle w:val="tal1"/>
          <w:rFonts w:eastAsia="Arial" w:cs="Arial" w:ascii="Arial" w:hAnsi="Arial"/>
          <w:color w:val="auto"/>
          <w:spacing w:val="0"/>
          <w:w w:val="100"/>
          <w:sz w:val="20"/>
          <w:szCs w:val="20"/>
          <w:lang w:val="ro-RO"/>
        </w:rPr>
        <w:t xml:space="preserve">odalitatea de desemnare a reprezentanților lucrătorilor </w:t>
      </w:r>
      <w:r>
        <w:rPr>
          <w:rStyle w:val="tpa1"/>
          <w:rFonts w:eastAsia="Arial" w:cs="Arial" w:ascii="Arial" w:hAnsi="Arial"/>
          <w:color w:val="auto"/>
          <w:spacing w:val="0"/>
          <w:w w:val="100"/>
          <w:sz w:val="20"/>
          <w:szCs w:val="20"/>
          <w:lang w:val="ro-RO"/>
        </w:rPr>
        <w:t>cu răspunderi specifice în domeniul securității și sănătății în muncă.</w:t>
      </w:r>
    </w:p>
    <w:p>
      <w:pPr>
        <w:pStyle w:val="Normal"/>
        <w:keepNext/>
        <w:widowControl/>
        <w:numPr>
          <w:ilvl w:val="0"/>
          <w:numId w:val="7"/>
        </w:numPr>
        <w:spacing w:before="0" w:after="40"/>
        <w:jc w:val="left"/>
        <w:rPr>
          <w:rStyle w:val="tli1"/>
          <w:rFonts w:ascii="Arial" w:hAnsi="Arial" w:cs="Arial"/>
          <w:sz w:val="18"/>
          <w:szCs w:val="18"/>
          <w:lang w:val="it-IT"/>
        </w:rPr>
      </w:pPr>
      <w:r>
        <w:rPr>
          <w:rStyle w:val="tal1"/>
          <w:rFonts w:eastAsia="Arial" w:cs="Arial" w:ascii="Arial" w:hAnsi="Arial"/>
          <w:color w:val="auto"/>
          <w:spacing w:val="0"/>
          <w:w w:val="100"/>
          <w:sz w:val="20"/>
          <w:szCs w:val="20"/>
          <w:lang w:val="ro-RO"/>
        </w:rPr>
        <w:t xml:space="preserve">Angajatorul va acorda fiecărui reprezentant al lucrătorilor în comitetele de securitate și sănătate în muncă timpul necesar exercitării atribuțiilor specifice. Conform H.G. 1425/ 2006, art. 61 alin. (2), timpul alocat acestei activități va fi considerat timp de muncă și va fi de cel puțin:</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2 ore pe lună în unitățile având un efectiv de până la 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5 ore pe lună în unitățile având un efectiv între 100 și 299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10 ore pe lună în unitățile având un efectiv între 300 și 499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15 ore pe lună în unitățile având un efectiv între 500 și 1.499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20 de ore pe lună în unitățile având un efectiv de 1.500 de lucrători și peste.</w:t>
      </w:r>
    </w:p>
    <w:p>
      <w:pPr>
        <w:pStyle w:val="Normal"/>
        <w:widowControl/>
        <w:numPr>
          <w:ilvl w:val="0"/>
          <w:numId w:val="7"/>
        </w:numPr>
        <w:spacing w:before="0" w:after="40"/>
        <w:jc w:val="left"/>
        <w:rPr>
          <w:rStyle w:val="tal1"/>
          <w:rFonts w:ascii="Arial" w:hAnsi="Arial" w:cs="Arial"/>
          <w:sz w:val="18"/>
          <w:szCs w:val="18"/>
        </w:rPr>
      </w:pPr>
      <w:r>
        <w:rPr>
          <w:rStyle w:val="tal1"/>
          <w:rFonts w:eastAsia="Arial" w:cs="Arial" w:ascii="Arial" w:hAnsi="Arial"/>
          <w:color w:val="auto"/>
          <w:spacing w:val="0"/>
          <w:w w:val="100"/>
          <w:sz w:val="20"/>
          <w:szCs w:val="20"/>
          <w:lang w:val="ro-RO"/>
        </w:rPr>
        <w:t xml:space="preserve">Conform HG 1425/ 2006, art. 55, reprezentanții lucrătorilor cu răspunderi specifice în domeniul securității și sănătății în muncă trebuie să urmeze un program de pregătire în domeniul securității și sănătății în muncă, cu o durată de cel puțin 40 de ore, cu conținutul minim conform celui prevăzut în anexa nr. 6 lit. A; îndeplinirea cerinței se atestă printr-un document de absolvire a programului de pregătire.</w:t>
      </w:r>
    </w:p>
    <w:p>
      <w:pPr>
        <w:pStyle w:val="Normal"/>
        <w:keepNext/>
        <w:widowControl/>
        <w:numPr>
          <w:ilvl w:val="0"/>
          <w:numId w:val="7"/>
        </w:numPr>
        <w:spacing w:before="0" w:after="4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M</w:t>
      </w:r>
      <w:r>
        <w:rPr>
          <w:rStyle w:val="tal1"/>
          <w:rFonts w:eastAsia="Arial" w:cs="Arial" w:ascii="Arial" w:hAnsi="Arial"/>
          <w:color w:val="auto"/>
          <w:spacing w:val="0"/>
          <w:w w:val="100"/>
          <w:sz w:val="20"/>
          <w:szCs w:val="20"/>
          <w:lang w:val="ro-RO"/>
        </w:rPr>
        <w:t xml:space="preserve">odalitatea de desemnare a reprezentanților lucrătorilor </w:t>
      </w:r>
      <w:r>
        <w:rPr>
          <w:rStyle w:val="tpa1"/>
          <w:rFonts w:eastAsia="Arial" w:cs="Arial" w:ascii="Arial" w:hAnsi="Arial"/>
          <w:color w:val="auto"/>
          <w:spacing w:val="0"/>
          <w:w w:val="100"/>
          <w:sz w:val="20"/>
          <w:szCs w:val="20"/>
          <w:lang w:val="ro-RO"/>
        </w:rPr>
        <w:t>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lucrătorii din cadrul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cu ocazia adunării generale a salariaților, se vor întruni pentru a alege reprezentanții lucrătorilor 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lucrătorii din cadrul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cu ocazia adunării generale a salariaților, vor hotărî prin vot secret </w:t>
      </w:r>
      <w:r>
        <w:rPr>
          <w:rStyle w:val="tal1"/>
          <w:rFonts w:eastAsia="Arial" w:cs="Arial" w:ascii="Arial" w:hAnsi="Arial"/>
          <w:color w:val="auto"/>
          <w:spacing w:val="0"/>
          <w:w w:val="100"/>
          <w:sz w:val="20"/>
          <w:szCs w:val="20"/>
          <w:lang w:val="ro-RO"/>
        </w:rPr>
        <w:t xml:space="preserve">reprezentanții lucrătorilor </w:t>
      </w:r>
      <w:r>
        <w:rPr>
          <w:rStyle w:val="tpa1"/>
          <w:rFonts w:eastAsia="Arial" w:cs="Arial" w:ascii="Arial" w:hAnsi="Arial"/>
          <w:color w:val="auto"/>
          <w:spacing w:val="0"/>
          <w:w w:val="100"/>
          <w:sz w:val="20"/>
          <w:szCs w:val="20"/>
          <w:lang w:val="ro-RO"/>
        </w:rPr>
        <w:t xml:space="preserve">cu răspunderi specifice în domeniul securității și sănătății în muncă, potrivit listei de semnături ce constituie anexa la procesul-verbal de întrunire a adunării generale a salariaților;</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procesul-verbal de întrunire a adunării generale a salariaților va fi încheiat în 3 (trei) exemplare, din care un exemplar pentru reprezentanții salariaților și două exemplare la angajator sau la persoana desemnată de acesta;</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pentru ca alegerea să fie validată fiecare reprezentant al lucrătorilor cu răspunderi specifice în domeniul securității și sănătății în muncă va trebui să fie ales de cel puțin 50 % + 1 din totalul numărului de angajați ai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angajatorul, după alegeri, va desemna prin decizie scrisă, reprezentanții lucrătorilor 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atribuțiile reprezentanților lucrătorilor cu răspunderi specifice în domeniul securității și sănătății în muncă vor fi specificate în fișa postului pentru fiecare lucrător ales.</w:t>
      </w:r>
    </w:p>
    <w:p>
      <w:pPr>
        <w:pStyle w:val="Normal"/>
        <w:widowControl/>
        <w:numPr>
          <w:ilvl w:val="0"/>
          <w:numId w:val="7"/>
        </w:numPr>
        <w:spacing w:before="0" w:after="40"/>
        <w:jc w:val="left"/>
        <w:rPr>
          <w:rStyle w:val="al1"/>
          <w:rFonts w:ascii="Arial" w:hAnsi="Arial" w:cs="Arial"/>
          <w:b w:val="false"/>
          <w:bCs w:val="false"/>
          <w:color w:val="000000"/>
          <w:sz w:val="18"/>
          <w:szCs w:val="18"/>
          <w:lang w:val="it-IT"/>
        </w:rPr>
      </w:pPr>
      <w:r>
        <w:rPr>
          <w:rStyle w:val="al1"/>
          <w:rFonts w:eastAsia="Arial" w:cs="Arial" w:ascii="Arial" w:hAnsi="Arial"/>
          <w:b w:val="false"/>
          <w:bCs w:val="false"/>
          <w:color w:val="auto"/>
          <w:spacing w:val="0"/>
          <w:w w:val="100"/>
          <w:sz w:val="20"/>
          <w:szCs w:val="20"/>
          <w:lang w:val="ro-RO"/>
        </w:rPr>
        <w:t>Adunarea generală a salariaților va fi efectuată ori de câte ori va fi necesar prin convocare, afișare la avizierul unității și informarea directă a reprezentanților salariaților.</w:t>
      </w:r>
    </w:p>
    <w:p>
      <w:pPr>
        <w:pStyle w:val="Normal"/>
        <w:widowControl/>
        <w:numPr>
          <w:ilvl w:val="0"/>
          <w:numId w:val="7"/>
        </w:numPr>
        <w:spacing w:before="0" w:after="40"/>
        <w:jc w:val="left"/>
        <w:rPr>
          <w:rStyle w:val="tal1"/>
          <w:rFonts w:ascii="Arial" w:hAnsi="Arial" w:cs="Arial"/>
          <w:sz w:val="18"/>
          <w:szCs w:val="18"/>
          <w:lang w:val="it-IT"/>
        </w:rPr>
      </w:pPr>
      <w:r>
        <w:rPr>
          <w:rStyle w:val="al1"/>
          <w:rFonts w:eastAsia="Arial" w:cs="Arial" w:ascii="Arial" w:hAnsi="Arial"/>
          <w:b w:val="false"/>
          <w:color w:val="auto"/>
          <w:spacing w:val="0"/>
          <w:w w:val="100"/>
          <w:sz w:val="20"/>
          <w:szCs w:val="20"/>
          <w:lang w:val="ro-RO"/>
        </w:rPr>
        <w:t xml:space="preserve">Având în vedere că </w:t>
      </w:r>
      <w:r>
        <w:rPr>
          <w:rStyle w:val="al1"/>
          <w:rFonts w:eastAsia="Arial" w:cs="Arial" w:ascii="Arial" w:hAnsi="Arial"/>
          <w:bCs w:val="false"/>
          <w:color w:val="auto"/>
          <w:spacing w:val="0"/>
          <w:w w:val="100"/>
          <w:sz w:val="20"/>
          <w:szCs w:val="20"/>
          <w:lang w:val="ro-RO"/>
        </w:rPr>
        <w:t>{{client.legalName}}</w:t>
      </w:r>
      <w:r>
        <w:rPr>
          <w:rStyle w:val="al1"/>
          <w:rFonts w:eastAsia="Arial" w:cs="Arial" w:ascii="Arial" w:hAnsi="Arial"/>
          <w:b w:val="false"/>
          <w:color w:val="auto"/>
          <w:spacing w:val="0"/>
          <w:w w:val="100"/>
          <w:sz w:val="20"/>
          <w:szCs w:val="20"/>
          <w:lang w:val="ro-RO"/>
        </w:rPr>
        <w:t xml:space="preserve"> are un număr mediu de sub </w:t>
      </w:r>
      <w:r>
        <w:rPr>
          <w:rStyle w:val="al1"/>
          <w:rFonts w:eastAsia="Arial" w:cs="Arial" w:ascii="Arial" w:hAnsi="Arial"/>
          <w:color w:val="auto"/>
          <w:spacing w:val="0"/>
          <w:w w:val="100"/>
          <w:sz w:val="20"/>
          <w:szCs w:val="20"/>
          <w:lang w:val="ro-RO"/>
        </w:rPr>
        <w:t>50</w:t>
      </w:r>
      <w:r>
        <w:rPr>
          <w:rStyle w:val="al1"/>
          <w:rFonts w:eastAsia="Arial" w:cs="Arial" w:ascii="Arial" w:hAnsi="Arial"/>
          <w:b w:val="false"/>
          <w:color w:val="auto"/>
          <w:spacing w:val="0"/>
          <w:w w:val="100"/>
          <w:sz w:val="20"/>
          <w:szCs w:val="20"/>
          <w:lang w:val="ro-RO"/>
        </w:rPr>
        <w:t xml:space="preserve"> de lucrători, </w:t>
      </w:r>
      <w:r>
        <w:rPr>
          <w:rStyle w:val="al1"/>
          <w:rFonts w:eastAsia="Arial" w:cs="Arial" w:ascii="Arial" w:hAnsi="Arial"/>
          <w:color w:val="auto"/>
          <w:spacing w:val="0"/>
          <w:w w:val="100"/>
          <w:sz w:val="20"/>
          <w:szCs w:val="20"/>
          <w:lang w:val="ro-RO"/>
        </w:rPr>
        <w:t>NU</w:t>
      </w:r>
      <w:r>
        <w:rPr>
          <w:rStyle w:val="al1"/>
          <w:rFonts w:eastAsia="Arial" w:cs="Arial" w:ascii="Arial" w:hAnsi="Arial"/>
          <w:b w:val="false"/>
          <w:color w:val="auto"/>
          <w:spacing w:val="0"/>
          <w:w w:val="100"/>
          <w:sz w:val="20"/>
          <w:szCs w:val="20"/>
          <w:lang w:val="ro-RO"/>
        </w:rPr>
        <w:t xml:space="preserve"> este necesar să se </w:t>
      </w:r>
      <w:r>
        <w:rPr>
          <w:rStyle w:val="tal1"/>
          <w:rFonts w:eastAsia="Arial" w:cs="Arial" w:ascii="Arial" w:hAnsi="Arial"/>
          <w:color w:val="auto"/>
          <w:spacing w:val="0"/>
          <w:w w:val="100"/>
          <w:sz w:val="20"/>
          <w:szCs w:val="20"/>
          <w:lang w:val="ro-RO"/>
        </w:rPr>
        <w:t xml:space="preserve">constituie </w:t>
      </w:r>
      <w:r>
        <w:rPr>
          <w:rStyle w:val="al1"/>
          <w:rFonts w:eastAsia="Arial" w:cs="Arial" w:ascii="Arial" w:hAnsi="Arial"/>
          <w:b w:val="false"/>
          <w:color w:val="auto"/>
          <w:spacing w:val="0"/>
          <w:w w:val="100"/>
          <w:sz w:val="20"/>
          <w:szCs w:val="20"/>
          <w:lang w:val="ro-RO"/>
        </w:rPr>
        <w:t xml:space="preserve">un </w:t>
      </w:r>
      <w:r>
        <w:rPr>
          <w:rStyle w:val="tal1"/>
          <w:rFonts w:eastAsia="Arial" w:cs="Arial" w:ascii="Arial" w:hAnsi="Arial"/>
          <w:color w:val="auto"/>
          <w:spacing w:val="0"/>
          <w:w w:val="100"/>
          <w:sz w:val="20"/>
          <w:szCs w:val="20"/>
          <w:lang w:val="ro-RO"/>
        </w:rPr>
        <w:t>Comitet de securitate și sănătate în muncă.</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 xml:space="preserve">Comitetul de securitate și sănătate în muncă este constituit din reprezentanții lucrătorilor cu răspunderi specifice în domeniul securității și sănătății lucrătorilor, pe de o parte, și angajatorul sau reprezentantul său legal și/ sau reprezentanții săi în număr egal cu cel al reprezentanților lucrătorilor și medicul de medicina muncii, pe de altă parte.</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Lucrătorul desemnat sau reprezentantul serviciului intern de prevenire și protecție este secretarul comitetului de securitate și sănătate în muncă.</w:t>
      </w:r>
    </w:p>
    <w:p>
      <w:pPr>
        <w:pStyle w:val="Normal"/>
        <w:keepNext/>
        <w:widowControl/>
        <w:numPr>
          <w:ilvl w:val="0"/>
          <w:numId w:val="7"/>
        </w:numPr>
        <w:spacing w:before="0" w:after="40"/>
        <w:jc w:val="left"/>
        <w:rPr>
          <w:rFonts w:ascii="Arial" w:hAnsi="Arial" w:cs="Arial"/>
          <w:sz w:val="18"/>
          <w:szCs w:val="18"/>
          <w:lang w:val="it-IT"/>
        </w:rPr>
      </w:pPr>
      <w:r>
        <w:rPr>
          <w:rStyle w:val="al1"/>
          <w:rFonts w:eastAsia="Arial" w:cs="Arial" w:ascii="Arial" w:hAnsi="Arial"/>
          <w:b w:val="false"/>
          <w:color w:val="auto"/>
          <w:spacing w:val="0"/>
          <w:w w:val="100"/>
          <w:sz w:val="20"/>
          <w:szCs w:val="20"/>
          <w:lang w:val="ro-RO"/>
        </w:rPr>
        <w:t xml:space="preserve">Fiecărui reprezentant al lucrătorilor în comitetele de securitate și sănătate în muncă i se va acorda timpul necesar exercitării atribuțiilor specifice în domeniul securității și sănătății în muncă. Conform H.G. 1425/ 2006, art. 61 alin. (2), timpul alocat acestei activități va fi considerat timp de muncă și va fi de cel puțin:</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2 ore pe lună în unitățile având un efectiv de până la 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5 ore pe lună în unitățile având un efectiv între 100 și 299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10 ore pe lună în unitățile având un efectiv între 300 și 499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15 ore pe lună în unitățile având un efectiv între 500 și 1.499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20 de ore pe lună în unitățile având un efectiv de 1.500 de lucrători și peste.</w:t>
      </w:r>
    </w:p>
    <w:p>
      <w:pPr>
        <w:pStyle w:val="Normal"/>
        <w:widowControl/>
        <w:numPr>
          <w:ilvl w:val="0"/>
          <w:numId w:val="7"/>
        </w:numPr>
        <w:spacing w:before="0" w:after="40"/>
        <w:jc w:val="left"/>
        <w:rPr>
          <w:rFonts w:ascii="Arial" w:hAnsi="Arial" w:cs="Arial"/>
          <w:sz w:val="18"/>
          <w:szCs w:val="18"/>
          <w:lang w:val="it-IT"/>
        </w:rPr>
      </w:pPr>
      <w:r>
        <w:rPr>
          <w:rStyle w:val="tpa1"/>
          <w:rFonts w:eastAsia="Arial" w:cs="Arial" w:ascii="Arial" w:hAnsi="Arial"/>
          <w:color w:val="auto"/>
          <w:spacing w:val="0"/>
          <w:w w:val="100"/>
          <w:sz w:val="20"/>
          <w:szCs w:val="20"/>
          <w:lang w:val="ro-RO"/>
        </w:rPr>
        <w:t>Membrii comitetului de securitate și sănătate în muncă se nominalizează prin decizie scrisă a președintelui acestuia, iar componența comitetului va fi adusă la cunoștința tuturor lucrătorilor.</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 xml:space="preserve">La întrunirile comitetului de securitate și sănătate în muncă vor fi convocați să participe lucrătorii desemnați, reprezentanții serviciului intern de prevenire și protecție și, în cazul în care angajatorul a contractat unul sau mai multe servicii externe de prevenire și protecție, reprezentanții acestora, dar vor putea fi convocați să participe și alți lucrători din cadrul </w:t>
      </w:r>
      <w:r>
        <w:rPr>
          <w:rStyle w:val="tal1"/>
          <w:rFonts w:eastAsia="Arial" w:cs="Arial" w:ascii="Arial" w:hAnsi="Arial"/>
          <w:b/>
          <w:bCs/>
          <w:color w:val="auto"/>
          <w:spacing w:val="0"/>
          <w:w w:val="100"/>
          <w:sz w:val="20"/>
          <w:szCs w:val="20"/>
          <w:lang w:val="ro-RO"/>
        </w:rPr>
        <w:t>{{client.legalName}}</w:t>
      </w:r>
      <w:r>
        <w:rPr>
          <w:rStyle w:val="tal1"/>
          <w:rFonts w:eastAsia="Arial" w:cs="Arial" w:ascii="Arial" w:hAnsi="Arial"/>
          <w:color w:val="auto"/>
          <w:spacing w:val="0"/>
          <w:w w:val="100"/>
          <w:sz w:val="20"/>
          <w:szCs w:val="20"/>
          <w:lang w:val="ro-RO"/>
        </w:rPr>
        <w:t>.</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La întrunirile comitetului de securitate și sănătate în muncă pot fi invitați să participe inspectori de muncă.</w:t>
      </w:r>
    </w:p>
    <w:p>
      <w:pPr>
        <w:pStyle w:val="Normal"/>
        <w:widowControl/>
        <w:numPr>
          <w:ilvl w:val="0"/>
          <w:numId w:val="7"/>
        </w:numPr>
        <w:spacing w:before="0" w:after="40"/>
        <w:jc w:val="left"/>
        <w:rPr>
          <w:rStyle w:val="tpa1"/>
          <w:rFonts w:ascii="Arial" w:hAnsi="Arial" w:cs="Arial"/>
          <w:b/>
          <w:bCs/>
          <w:sz w:val="18"/>
          <w:szCs w:val="18"/>
          <w:lang w:val="it-IT"/>
        </w:rPr>
      </w:pPr>
      <w:r>
        <w:rPr>
          <w:rStyle w:val="tpa1"/>
          <w:rFonts w:eastAsia="Arial" w:cs="Arial" w:ascii="Arial" w:hAnsi="Arial"/>
          <w:color w:val="auto"/>
          <w:spacing w:val="0"/>
          <w:w w:val="100"/>
          <w:sz w:val="20"/>
          <w:szCs w:val="20"/>
          <w:lang w:val="ro-RO"/>
        </w:rPr>
        <w:t xml:space="preserve">Comitetul de securitate și sănătate în muncă va funcționa în baza regulamentului de </w:t>
      </w:r>
      <w:r>
        <w:rPr>
          <w:rStyle w:val="tpa1"/>
          <w:rFonts w:eastAsia="Arial" w:cs="Arial" w:ascii="Arial" w:hAnsi="Arial"/>
          <w:color w:val="auto"/>
          <w:spacing w:val="0"/>
          <w:w w:val="100"/>
          <w:sz w:val="20"/>
          <w:szCs w:val="20"/>
          <w:lang w:val="ro-RO"/>
        </w:rPr>
        <w:t>funcționare</w:t>
      </w:r>
      <w:r>
        <w:rPr>
          <w:rStyle w:val="tpa1"/>
          <w:rFonts w:eastAsia="Arial" w:cs="Arial" w:ascii="Arial" w:hAnsi="Arial"/>
          <w:color w:val="auto"/>
          <w:spacing w:val="0"/>
          <w:w w:val="100"/>
          <w:sz w:val="20"/>
          <w:szCs w:val="20"/>
          <w:lang w:val="ro-RO"/>
        </w:rPr>
        <w:t xml:space="preserve"> propriu al</w:t>
      </w:r>
      <w:r>
        <w:rPr>
          <w:rStyle w:val="tal1"/>
          <w:rFonts w:eastAsia="Arial" w:cs="Arial" w:ascii="Arial" w:hAnsi="Arial"/>
          <w:color w:val="auto"/>
          <w:spacing w:val="0"/>
          <w:w w:val="100"/>
          <w:sz w:val="20"/>
          <w:szCs w:val="20"/>
          <w:lang w:val="ro-RO"/>
        </w:rPr>
        <w:t xml:space="preserve"> </w:t>
      </w:r>
      <w:r>
        <w:rPr>
          <w:rStyle w:val="tal1"/>
          <w:rFonts w:eastAsia="Arial" w:cs="Arial" w:ascii="Arial" w:hAnsi="Arial"/>
          <w:b/>
          <w:bCs/>
          <w:color w:val="auto"/>
          <w:spacing w:val="0"/>
          <w:w w:val="100"/>
          <w:sz w:val="20"/>
          <w:szCs w:val="20"/>
          <w:lang w:val="ro-RO"/>
        </w:rPr>
        <w:t>{{client.legalName}}.</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w:t>
      </w:r>
      <w:r>
        <w:rPr>
          <w:rFonts w:eastAsia="Arial" w:cs="Arial" w:ascii="Arial" w:hAnsi="Arial"/>
          <w:bCs/>
          <w:color w:val="auto"/>
          <w:spacing w:val="0"/>
          <w:w w:val="100"/>
          <w:sz w:val="20"/>
          <w:szCs w:val="20"/>
          <w:lang w:val="ro-RO"/>
        </w:rPr>
        <w:t xml:space="preserve">ucrătorul desemnat sau </w:t>
      </w:r>
      <w:r>
        <w:rPr>
          <w:rFonts w:eastAsia="Arial" w:cs="Arial" w:ascii="Arial" w:hAnsi="Arial"/>
          <w:color w:val="auto"/>
          <w:spacing w:val="0"/>
          <w:w w:val="100"/>
          <w:sz w:val="20"/>
          <w:szCs w:val="20"/>
          <w:lang w:val="ro-RO"/>
        </w:rPr>
        <w:t>s</w:t>
      </w:r>
      <w:r>
        <w:rPr>
          <w:rFonts w:eastAsia="Arial" w:cs="Arial" w:ascii="Arial" w:hAnsi="Arial"/>
          <w:bCs/>
          <w:color w:val="auto"/>
          <w:spacing w:val="0"/>
          <w:w w:val="100"/>
          <w:sz w:val="20"/>
          <w:szCs w:val="20"/>
          <w:lang w:val="ro-RO"/>
        </w:rPr>
        <w:t>erviciul extern va trebui:</w:t>
      </w:r>
    </w:p>
    <w:p>
      <w:pPr>
        <w:pStyle w:val="Normal"/>
        <w:widowControl/>
        <w:numPr>
          <w:ilvl w:val="0"/>
          <w:numId w:val="52"/>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să propună atribuții și răspunderi în domeniul securității și sănătății în muncă pentru fișa postului pentru angajați, corespunzător funcțiilor exercitate;</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elaboreze instrucțiuni proprii de securitate a muncii, care să detalieze și să particularizeze normele specifice securității și sănătății muncii;</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și să controleze cunoașterea și aplicarea de către toți angajații, a măsurilor tehnice și organizatorice stabilite, precum și a prevederilor legale în domeniul securității muncii;</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materiale necesare informării și educării angajaților: afișe, pliante, teste, fișe tehnice de securitate, carto etc.;</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informarea fiecărei persoane, anterior angajării, asupra riscurilor la care aceasta va fi expusă, precum și asupra măsurilor tehnice și organizatorice de prevenire necesare;</w:t>
      </w:r>
    </w:p>
    <w:p>
      <w:pPr>
        <w:pStyle w:val="Normal"/>
        <w:widowControl/>
        <w:numPr>
          <w:ilvl w:val="0"/>
          <w:numId w:val="50"/>
        </w:numPr>
        <w:spacing w:before="0" w:after="12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materialul necesar pentru informarea angajatorilor din orice unitate exterioară, ai căror angajați lucrează în unitatea sa, referitor la riscurile pentru securitate și sănătate la care aceștia pot fi expuși, precum și măsurile de prevenire și protecție adoptate la nivel de unitate și loc de muncă, inclusiv cele referitoare la primul ajutor, prevenirea și stingerea incendiilor și evacuarea în caz de urgență.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Reguli privind respectarea principiului nediscriminării și al înlăturării oricărei forme de încălcare a demnității</w:t>
      </w:r>
      <w:r>
        <w:rPr>
          <w:rFonts w:eastAsia="Arial" w:cs="Arial" w:ascii="Arial" w:hAnsi="Arial"/>
          <w:color w:val="auto"/>
          <w:spacing w:val="0"/>
          <w:w w:val="100"/>
          <w:sz w:val="20"/>
          <w:szCs w:val="20"/>
          <w:lang w:val="ro-RO"/>
        </w:rPr>
        <w:t>:</w:t>
      </w:r>
    </w:p>
    <w:p>
      <w:pPr>
        <w:pStyle w:val="Normal"/>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cadrul relațiilor de muncă funcționează principiul egalității de tratament față de toți lucrătorii și angajatorii; orice discriminare este interzisă.</w:t>
      </w:r>
    </w:p>
    <w:p>
      <w:pPr>
        <w:pStyle w:val="BodyText"/>
        <w:widowControl/>
        <w:numPr>
          <w:ilvl w:val="0"/>
          <w:numId w:val="17"/>
        </w:numPr>
        <w:spacing w:before="0" w:after="40"/>
        <w:jc w:val="left"/>
        <w:rPr>
          <w:rFonts w:ascii="Arial" w:hAnsi="Arial" w:cs="Arial"/>
          <w:b/>
          <w:bCs/>
          <w:sz w:val="18"/>
          <w:szCs w:val="18"/>
          <w:lang w:val="it-IT"/>
        </w:rPr>
      </w:pPr>
      <w:r>
        <w:rPr>
          <w:rFonts w:eastAsia="Arial" w:cs="Arial" w:ascii="Arial" w:hAnsi="Arial"/>
          <w:color w:val="auto"/>
          <w:spacing w:val="0"/>
          <w:w w:val="100"/>
          <w:sz w:val="20"/>
          <w:szCs w:val="20"/>
          <w:lang w:val="ro-RO"/>
        </w:rPr>
        <w:t xml:space="preserve">Prin discriminare se înțelege orice deosebire, excludere, restricție sau preferință, pe bază de rasă, naționalitate, etnie, limbă, religie, categorie socială, convingeri, gen, orientare sexuală, vârstă, dizabilitate, boală cronică necontagioasă, infectare HIV ori apartenență la o categorie defavorizată sau orice alt criteriu care are ca scop sau efect restrângerea sau înlăturarea recunoașterii, folosinței sau exercitării, în condiții egale, a drepturilor omului și libertăților fundamentale sau a drepturilor recunoscute de lege, în domeniul politic, economic, social și cultural.</w:t>
      </w:r>
    </w:p>
    <w:p>
      <w:pPr>
        <w:pStyle w:val="Heading5"/>
        <w:keepNext/>
        <w:widowControl/>
        <w:numPr>
          <w:ilvl w:val="0"/>
          <w:numId w:val="17"/>
        </w:numPr>
        <w:spacing w:before="0" w:after="40"/>
        <w:jc w:val="left"/>
        <w:rPr>
          <w:rFonts w:ascii="Arial" w:hAnsi="Arial" w:cs="Arial"/>
          <w:bCs/>
          <w:i w:val="false"/>
          <w:iCs w:val="false"/>
          <w:sz w:val="18"/>
          <w:szCs w:val="18"/>
          <w:lang w:val="it-IT"/>
        </w:rPr>
      </w:pPr>
      <w:r>
        <w:rPr>
          <w:rFonts w:eastAsia="Arial" w:cs="Arial" w:ascii="Arial" w:hAnsi="Arial"/>
          <w:bCs/>
          <w:i w:val="false"/>
          <w:iCs w:val="false"/>
          <w:color w:val="auto"/>
          <w:spacing w:val="0"/>
          <w:w w:val="100"/>
          <w:sz w:val="20"/>
          <w:szCs w:val="20"/>
          <w:lang w:val="ro-RO"/>
        </w:rPr>
        <w:t>Principiul egalității, al excluderii privilegiilor și discriminării este garantat în exercitarea următoarelor drepturi:</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muncă, la condiții de muncă echitabile și satisfăcătoare, la protecție împotriva șomajului, la salariu egal pentru muncă egală, la o remunerație echitabilă și satisfăcătoare;</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sănătate, la securitate socială și la servicii sociale;</w:t>
      </w:r>
    </w:p>
    <w:p>
      <w:pPr>
        <w:pStyle w:val="Normal"/>
        <w:widowControl/>
        <w:numPr>
          <w:ilvl w:val="0"/>
          <w:numId w:val="1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dreptul la pregătire profesională;</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de a lua parte, în condiții egale, la activități culturale și sportive.</w:t>
      </w:r>
    </w:p>
    <w:p>
      <w:pPr>
        <w:pStyle w:val="Normal"/>
        <w:keepNext/>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Principiul egalității de șanse este aplicat în ceea ce privește: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condițiile de încadrare în muncă, criteriile și condițiile de recrutare;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selectare și promovare, formare și perfecționare profesională;</w:t>
      </w:r>
    </w:p>
    <w:p>
      <w:pPr>
        <w:pStyle w:val="Normal"/>
        <w:widowControl/>
        <w:numPr>
          <w:ilvl w:val="0"/>
          <w:numId w:val="3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anunțarea, organizarea concursurilor sau examenelor și selecția;</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candidaților pentru posturile vacante;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încheierea, suspendarea, modificarea sau încetarea raportului de muncă;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stabilirea și modificarea atribuțiilor de serviciu din fișa postului, locului de muncă;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stabilirea remunerației;</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evaluarea performanțelor profesionale individuale;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promovarea personală;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acordarea altor drepturi sociale altele decât cele reprezentând salariul;</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formarea, perfecționarea, reconversia și promovarea profesională;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aplicarea măsurilor disciplinare;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aderare la sindicat și accesul la facilitățile acordate de acesta;</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orice alte condiții de prestare a muncii, potrivit legislației în vigoare.</w:t>
      </w:r>
    </w:p>
    <w:p>
      <w:pPr>
        <w:pStyle w:val="Normal"/>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cadrul relațiilor dintre lucrătorii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xml:space="preserve"> precum și dintre aceștia și alte persoane fizice cu care vin în contact în îndeplinirea atribuțiilor de serviciu, se interzice orice comportament care să aibă ca scop sau efect, defavorizarea sau supunerea la un tratament injust sau degradant a unei persoane sau grup de persoane.</w:t>
      </w:r>
    </w:p>
    <w:p>
      <w:pPr>
        <w:pStyle w:val="Normal"/>
        <w:keepNext/>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Constituie abatere disciplinară orice comportament având ca scop:</w:t>
      </w:r>
    </w:p>
    <w:p>
      <w:pPr>
        <w:pStyle w:val="Normal"/>
        <w:widowControl/>
        <w:numPr>
          <w:ilvl w:val="0"/>
          <w:numId w:val="2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crearea la locul de muncă a unei atmosfere de intimidare, de ostilitate sau descurajare pentru o persoană sau grup de persoane;</w:t>
      </w:r>
    </w:p>
    <w:p>
      <w:pPr>
        <w:pStyle w:val="Normal"/>
        <w:widowControl/>
        <w:numPr>
          <w:ilvl w:val="0"/>
          <w:numId w:val="24"/>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influențarea negativă a situației lucrătorului în ceea ce privește promovarea profesională, remunerația sau veniturile de orice natură ori accesul la formarea și perfecționarea profesională, în cazul refuzului acestuia de a accepta un comportament nedorit, ce ține de viața sexuală.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bCs/>
          <w:color w:val="auto"/>
          <w:spacing w:val="0"/>
          <w:w w:val="100"/>
          <w:sz w:val="20"/>
          <w:szCs w:val="20"/>
          <w:lang w:val="ro-RO"/>
        </w:rPr>
        <w:t>Reglementări privind protecția maternității</w:t>
      </w:r>
      <w:r>
        <w:rPr>
          <w:rFonts w:eastAsia="Arial" w:cs="Arial" w:ascii="Arial" w:hAnsi="Arial"/>
          <w:bCs/>
          <w:color w:val="auto"/>
          <w:spacing w:val="0"/>
          <w:w w:val="100"/>
          <w:sz w:val="20"/>
          <w:szCs w:val="20"/>
          <w:lang w:val="ro-RO"/>
        </w:rPr>
        <w:t>:</w:t>
      </w:r>
    </w:p>
    <w:p>
      <w:pPr>
        <w:pStyle w:val="Normal"/>
        <w:widowControl/>
        <w:numPr>
          <w:ilvl w:val="0"/>
          <w:numId w:val="34"/>
        </w:numPr>
        <w:spacing w:before="0" w:after="40"/>
        <w:jc w:val="left"/>
        <w:rPr>
          <w:rStyle w:val="tpa1"/>
          <w:rFonts w:ascii="Arial" w:hAnsi="Arial" w:cs="Arial"/>
          <w:b/>
          <w:sz w:val="18"/>
          <w:szCs w:val="18"/>
          <w:lang w:val="it-CH"/>
        </w:rPr>
      </w:pPr>
      <w:r>
        <w:rPr>
          <w:rFonts w:eastAsia="Arial" w:cs="Arial" w:ascii="Arial" w:hAnsi="Arial"/>
          <w:color w:val="auto"/>
          <w:spacing w:val="0"/>
          <w:w w:val="100"/>
          <w:sz w:val="20"/>
          <w:szCs w:val="20"/>
          <w:lang w:val="ro-RO"/>
        </w:rPr>
        <w:t xml:space="preserve">În ceea ce privește </w:t>
      </w:r>
      <w:r>
        <w:rPr>
          <w:rStyle w:val="tpa1"/>
          <w:rFonts w:eastAsia="Arial" w:cs="Arial" w:ascii="Arial" w:hAnsi="Arial"/>
          <w:color w:val="auto"/>
          <w:spacing w:val="0"/>
          <w:w w:val="100"/>
          <w:sz w:val="20"/>
          <w:szCs w:val="20"/>
          <w:lang w:val="ro-RO"/>
        </w:rPr>
        <w:t>securitatea și sănătatea în muncă a salariatelor gravide și/ sau mame, lăuze sau care alăptează, angajatorul va asigura la locul de muncă măsuri privind igiena, protecția sănătății și securitatea în muncă a acestora conform prevederilor legale.</w:t>
      </w:r>
    </w:p>
    <w:p>
      <w:pPr>
        <w:pStyle w:val="Normal"/>
        <w:keepNext/>
        <w:widowControl/>
        <w:numPr>
          <w:ilvl w:val="0"/>
          <w:numId w:val="34"/>
        </w:numPr>
        <w:spacing w:before="0" w:after="40"/>
        <w:jc w:val="left"/>
        <w:rPr>
          <w:rStyle w:val="tpa1"/>
          <w:rFonts w:ascii="Arial" w:hAnsi="Arial" w:cs="Arial"/>
          <w:b/>
          <w:sz w:val="18"/>
          <w:szCs w:val="18"/>
          <w:lang w:val="it-CH"/>
        </w:rPr>
      </w:pPr>
      <w:r>
        <w:rPr>
          <w:rStyle w:val="tpa1"/>
          <w:rFonts w:eastAsia="Arial" w:cs="Arial" w:ascii="Arial" w:hAnsi="Arial"/>
          <w:color w:val="auto"/>
          <w:spacing w:val="0"/>
          <w:w w:val="100"/>
          <w:sz w:val="20"/>
          <w:szCs w:val="20"/>
          <w:lang w:val="ro-RO"/>
        </w:rPr>
        <w:t>Salariatele gravide și/ sau mamele, lăuzele sau care alăptează pentru a beneficia de aceste măsuri trebuie să informeze în scris angajatorul asupra stării lor fiziologice astfel:</w:t>
      </w:r>
    </w:p>
    <w:p>
      <w:pPr>
        <w:pStyle w:val="Normal"/>
        <w:widowControl/>
        <w:numPr>
          <w:ilvl w:val="0"/>
          <w:numId w:val="35"/>
        </w:numPr>
        <w:spacing w:before="0" w:after="40"/>
        <w:ind w:hanging="360" w:left="1080"/>
        <w:jc w:val="left"/>
        <w:rPr>
          <w:rFonts w:ascii="Arial" w:hAnsi="Arial" w:cs="Arial"/>
          <w:b/>
          <w:sz w:val="18"/>
          <w:szCs w:val="18"/>
          <w:lang w:val="it-CH"/>
        </w:rPr>
      </w:pPr>
      <w:r>
        <w:rPr>
          <w:rStyle w:val="tpa1"/>
          <w:rFonts w:eastAsia="Arial" w:cs="Arial" w:ascii="Arial" w:hAnsi="Arial"/>
          <w:color w:val="auto"/>
          <w:spacing w:val="0"/>
          <w:w w:val="100"/>
          <w:sz w:val="20"/>
          <w:szCs w:val="20"/>
          <w:lang w:val="ro-RO"/>
        </w:rPr>
        <w:t xml:space="preserve">salariata gravidă va anunța</w:t>
      </w:r>
      <w:r>
        <w:rPr>
          <w:rFonts w:eastAsia="Arial" w:cs="Arial" w:ascii="Arial" w:hAnsi="Arial"/>
          <w:color w:val="auto"/>
          <w:spacing w:val="0"/>
          <w:w w:val="100"/>
          <w:sz w:val="20"/>
          <w:szCs w:val="20"/>
          <w:lang w:val="ro-RO"/>
        </w:rPr>
        <w:t xml:space="preserve"> în scris angajatorul asupra stării sale fiziologice de graviditate, va depune în copie Anexa pentru supravegherea medicală a gravidei – document medical, completat de medic, însoțită de o cerere care conține informații referitoare la starea de maternitate și solicitarea de a i se aplica măsurile de protecție prevăzute de ordonanță; documentul medical va conține constatarea stării fiziologice de sănătate, data prezumtivă a nașterii, recomandări privind capacitatea de muncă a acesteia pe timp de zi/ noapte, precum și în condiții de muncă insalubre sau greu de suportat;</w:t>
      </w:r>
    </w:p>
    <w:p>
      <w:pPr>
        <w:pStyle w:val="Normal"/>
        <w:widowControl/>
        <w:numPr>
          <w:ilvl w:val="0"/>
          <w:numId w:val="35"/>
        </w:numPr>
        <w:spacing w:before="0" w:after="40"/>
        <w:ind w:hanging="360" w:left="1080"/>
        <w:jc w:val="left"/>
        <w:rPr>
          <w:rFonts w:ascii="Arial" w:hAnsi="Arial" w:cs="Arial"/>
          <w:b/>
          <w:sz w:val="18"/>
          <w:szCs w:val="18"/>
          <w:lang w:val="it-CH"/>
        </w:rPr>
      </w:pPr>
      <w:r>
        <w:rPr>
          <w:rFonts w:eastAsia="Arial" w:cs="Arial" w:ascii="Arial" w:hAnsi="Arial"/>
          <w:color w:val="auto"/>
          <w:spacing w:val="0"/>
          <w:w w:val="100"/>
          <w:sz w:val="20"/>
          <w:szCs w:val="20"/>
          <w:lang w:val="ro-RO"/>
        </w:rPr>
        <w:t>salariata lăuză, care și-a reluat activitatea după efectuarea concediului de lăuzie respectiv a concediului postnatal obligatoriu de 42 de zile, sau după caz a 63 de zile ale concediului de lăuzie, va solicita angajatorului în scris măsurile de protecție prevăzute de lege, anexând un document medical eliberat de medicul de familie/ medicul specialist, dar nu mai târziu de 6 luni de la data la care a născut;</w:t>
      </w:r>
    </w:p>
    <w:p>
      <w:pPr>
        <w:pStyle w:val="Normal"/>
        <w:widowControl/>
        <w:numPr>
          <w:ilvl w:val="0"/>
          <w:numId w:val="35"/>
        </w:numPr>
        <w:spacing w:before="0" w:after="40"/>
        <w:ind w:hanging="360" w:left="1080"/>
        <w:jc w:val="left"/>
        <w:rPr>
          <w:rStyle w:val="tli1"/>
          <w:rFonts w:ascii="Arial" w:hAnsi="Arial" w:cs="Arial"/>
          <w:b/>
          <w:sz w:val="18"/>
          <w:szCs w:val="18"/>
          <w:lang w:val="it-CH"/>
        </w:rPr>
      </w:pPr>
      <w:r>
        <w:rPr>
          <w:rFonts w:eastAsia="Arial" w:cs="Arial" w:ascii="Arial" w:hAnsi="Arial"/>
          <w:color w:val="auto"/>
          <w:spacing w:val="0"/>
          <w:w w:val="100"/>
          <w:sz w:val="20"/>
          <w:szCs w:val="20"/>
          <w:lang w:val="ro-RO"/>
        </w:rPr>
        <w:t xml:space="preserve">salariata care alăptează, la reluarea</w:t>
      </w:r>
      <w:r>
        <w:rPr>
          <w:rStyle w:val="tli1"/>
          <w:rFonts w:eastAsia="Arial" w:cs="Arial" w:ascii="Arial" w:hAnsi="Arial"/>
          <w:color w:val="auto"/>
          <w:spacing w:val="0"/>
          <w:w w:val="100"/>
          <w:sz w:val="20"/>
          <w:szCs w:val="20"/>
          <w:lang w:val="ro-RO"/>
        </w:rPr>
        <w:t xml:space="preserve"> activității după efectuarea concediului de lăuzie, va anunța angajatorul în scris cu privire la începutul și sfârșitul prezumat al perioadei de alăptare, anexând documente medicale eliberate de medicul de familie/ medicul specialist în acest sens care va cuprinde și recomandări cu privire la capacitatea de muncă a acesteia.</w:t>
      </w:r>
    </w:p>
    <w:p>
      <w:pPr>
        <w:pStyle w:val="Normal"/>
        <w:keepNext/>
        <w:widowControl/>
        <w:numPr>
          <w:ilvl w:val="0"/>
          <w:numId w:val="34"/>
        </w:numPr>
        <w:spacing w:before="0" w:after="4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Salariatele prevăzute la Art. 54 lit. a, b, c, din prezentul regulament au următoarele obligații:</w:t>
      </w:r>
    </w:p>
    <w:p>
      <w:pPr>
        <w:pStyle w:val="Normal"/>
        <w:widowControl/>
        <w:numPr>
          <w:ilvl w:val="0"/>
          <w:numId w:val="43"/>
        </w:numPr>
        <w:spacing w:before="0" w:after="40"/>
        <w:ind w:hanging="360" w:left="108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salariata mamă are obligația să efectueze, în cadrul concediului pentru sarcină și lăuzie, concediul postnatal de 42 de zile, după naștere, sau după caz 63 de zile ale concediului de lăuzie;</w:t>
      </w:r>
    </w:p>
    <w:p>
      <w:pPr>
        <w:pStyle w:val="Normal"/>
        <w:widowControl/>
        <w:numPr>
          <w:ilvl w:val="0"/>
          <w:numId w:val="43"/>
        </w:numPr>
        <w:spacing w:before="0" w:after="40"/>
        <w:ind w:hanging="360" w:left="1080"/>
        <w:jc w:val="left"/>
        <w:rPr>
          <w:rStyle w:val="tal1"/>
          <w:rFonts w:ascii="Arial" w:hAnsi="Arial" w:cs="Arial"/>
          <w:b/>
          <w:sz w:val="18"/>
          <w:szCs w:val="18"/>
          <w:lang w:val="it-CH"/>
        </w:rPr>
      </w:pPr>
      <w:r>
        <w:rPr>
          <w:rStyle w:val="tpa1"/>
          <w:rFonts w:eastAsia="Arial" w:cs="Arial" w:ascii="Arial" w:hAnsi="Arial"/>
          <w:color w:val="auto"/>
          <w:spacing w:val="0"/>
          <w:w w:val="100"/>
          <w:sz w:val="20"/>
          <w:szCs w:val="20"/>
          <w:lang w:val="ro-RO"/>
        </w:rPr>
        <w:t>salariatele gravide și/ sau mamele, lăuzele sau care alăptează au</w:t>
      </w:r>
      <w:r>
        <w:rPr>
          <w:rStyle w:val="tal1"/>
          <w:rFonts w:eastAsia="Arial" w:cs="Arial" w:ascii="Arial" w:hAnsi="Arial"/>
          <w:color w:val="auto"/>
          <w:spacing w:val="0"/>
          <w:w w:val="100"/>
          <w:sz w:val="20"/>
          <w:szCs w:val="20"/>
          <w:lang w:val="ro-RO"/>
        </w:rPr>
        <w:t xml:space="preserve"> obligația de a se prezenta la medicul de familie/ medicul specialist, pentru eliberarea unui document medical care să le ateste starea, care va fi prezentat în copie angajatorului, în termen de maxim 5 zile lucrătoare de la data eliberării.</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Pentru toate activitățile susceptibile să prezinte un risc specific de expunere la agenți, procedee și condiții de muncă, a căror listă este prevăzută în anexa nr. 1 din O.U.G. nr. 96/ 2003, angajatorul este obligat să evalueze anual și să întocmească rapoarte de evaluare, cu participarea medicului de medicina muncii, cu privire la natura, gradul și durata de expunere a angajatelor în unitate pentru a depista orice risc pentru sănătatea și securitatea angajatelor și orice efect posibil asupra sarcinii sau alăptării și pentru a stabili măsurile care trebuie luate.</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 xml:space="preserve">Angajatorii sunt obligați ca, în termen de 5 zile lucrătoare de la data întocmirii raportului, să înmâneze o copie a acestuia către reprezentanții salariaților (dacă este cazul).</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Angajatorii vor informa în scris salariatele asupra rezultatelor evaluării privind riscurile la care pot fi supuse la locurile lor de muncă, precum și asupra drepturilor care decurg din O.U.G. nr. 96/ 2003 prin informarea privind protecția maternității la locul de muncă (conform modelului din Normele Metodologice) în termen de cel mult 15 zile lucrătoare de la data întocmirii raportului de evaluare.</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În termen de 10 zile lucrătoare de la data la care angajatorul a fost anunțat în scris de către o salariată că se află în una dintre situațiile prevăzute la Art.</w:t>
      </w:r>
      <w:r>
        <w:rPr>
          <w:rStyle w:val="tli1"/>
          <w:rFonts w:eastAsia="Arial" w:cs="Arial" w:ascii="Arial" w:hAnsi="Arial"/>
          <w:color w:val="auto"/>
          <w:spacing w:val="0"/>
          <w:w w:val="100"/>
          <w:sz w:val="20"/>
          <w:szCs w:val="20"/>
          <w:lang w:val="ro-RO"/>
        </w:rPr>
        <w:t xml:space="preserve"> 54 lit. a, b, c, din prezentul regulament</w:t>
      </w:r>
      <w:r>
        <w:rPr>
          <w:rStyle w:val="tal1"/>
          <w:rFonts w:eastAsia="Arial" w:cs="Arial" w:ascii="Arial" w:hAnsi="Arial"/>
          <w:color w:val="auto"/>
          <w:spacing w:val="0"/>
          <w:w w:val="100"/>
          <w:sz w:val="20"/>
          <w:szCs w:val="20"/>
          <w:lang w:val="ro-RO"/>
        </w:rPr>
        <w:t>, acesta are obligația să înștiințeze medicul de medicina muncii, precum și inspectoratul teritorial de muncă pe a cărui rază își desfășoară activitatea.</w:t>
      </w:r>
    </w:p>
    <w:p>
      <w:pPr>
        <w:pStyle w:val="Normal"/>
        <w:keepNext/>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Angajatorului îi revin următoarele obligații:</w:t>
      </w:r>
    </w:p>
    <w:p>
      <w:pPr>
        <w:pStyle w:val="Normal"/>
        <w:widowControl/>
        <w:numPr>
          <w:ilvl w:val="0"/>
          <w:numId w:val="13"/>
        </w:numPr>
        <w:spacing w:before="0" w:after="40"/>
        <w:ind w:hanging="360" w:left="1080"/>
        <w:jc w:val="left"/>
        <w:rPr>
          <w:rStyle w:val="tli1"/>
          <w:rFonts w:ascii="Arial" w:hAnsi="Arial" w:cs="Arial"/>
          <w:b/>
          <w:sz w:val="18"/>
          <w:szCs w:val="18"/>
          <w:lang w:val="it-CH"/>
        </w:rPr>
      </w:pPr>
      <w:r>
        <w:rPr>
          <w:rStyle w:val="tal1"/>
          <w:rFonts w:eastAsia="Arial" w:cs="Arial" w:ascii="Arial" w:hAnsi="Arial"/>
          <w:color w:val="auto"/>
          <w:spacing w:val="0"/>
          <w:w w:val="100"/>
          <w:sz w:val="20"/>
          <w:szCs w:val="20"/>
          <w:lang w:val="ro-RO"/>
        </w:rPr>
        <w:t>să prevină expunerea salariatelor prevăzute la Art.</w:t>
      </w:r>
      <w:r>
        <w:rPr>
          <w:rStyle w:val="tli1"/>
          <w:rFonts w:eastAsia="Arial" w:cs="Arial" w:ascii="Arial" w:hAnsi="Arial"/>
          <w:color w:val="auto"/>
          <w:spacing w:val="0"/>
          <w:w w:val="100"/>
          <w:sz w:val="20"/>
          <w:szCs w:val="20"/>
          <w:lang w:val="ro-RO"/>
        </w:rPr>
        <w:t xml:space="preserve"> 54 lit. a, b, c, din prezentul regulament</w:t>
      </w:r>
      <w:r>
        <w:rPr>
          <w:rStyle w:val="tal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la riscuri ce le pot afecta sănătatea și securitatea, în situația în care rezultatele evaluării evidențiază astfel de riscuri;</w:t>
      </w:r>
    </w:p>
    <w:p>
      <w:pPr>
        <w:pStyle w:val="Normal"/>
        <w:widowControl/>
        <w:numPr>
          <w:ilvl w:val="0"/>
          <w:numId w:val="13"/>
        </w:numPr>
        <w:spacing w:before="0" w:after="40"/>
        <w:ind w:hanging="360" w:left="108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să nu constrângă salariatele să efectueze o muncă dăunătoare sănătății sau stării lor de graviditate ori copilului nou-născut, după caz;</w:t>
      </w:r>
    </w:p>
    <w:p>
      <w:pPr>
        <w:pStyle w:val="Normal"/>
        <w:widowControl/>
        <w:numPr>
          <w:ilvl w:val="0"/>
          <w:numId w:val="13"/>
        </w:numPr>
        <w:spacing w:before="0" w:after="40"/>
        <w:ind w:hanging="360" w:left="1080"/>
        <w:jc w:val="left"/>
        <w:rPr>
          <w:rStyle w:val="tpa1"/>
          <w:rFonts w:ascii="Arial" w:hAnsi="Arial" w:cs="Arial"/>
          <w:sz w:val="18"/>
          <w:szCs w:val="18"/>
          <w:lang w:val="it-CH"/>
        </w:rPr>
      </w:pPr>
      <w:r>
        <w:rPr>
          <w:rStyle w:val="tpa1"/>
          <w:rFonts w:eastAsia="Arial" w:cs="Arial" w:ascii="Arial" w:hAnsi="Arial"/>
          <w:color w:val="auto"/>
          <w:spacing w:val="0"/>
          <w:w w:val="100"/>
          <w:sz w:val="20"/>
          <w:szCs w:val="20"/>
          <w:lang w:val="ro-RO"/>
        </w:rPr>
        <w:t>să păstreze confidențialitatea asupra stării de graviditate a salariatei și nu va anunța alți angajați decât cu acordul scris al acesteia și doar în interesul bunei desfășurări a procesului de muncă, când starea de graviditate nu este vizibilă;</w:t>
      </w:r>
    </w:p>
    <w:p>
      <w:pPr>
        <w:pStyle w:val="Normal"/>
        <w:widowControl/>
        <w:numPr>
          <w:ilvl w:val="0"/>
          <w:numId w:val="13"/>
        </w:numPr>
        <w:spacing w:before="0" w:after="40"/>
        <w:ind w:hanging="360" w:left="1080"/>
        <w:jc w:val="left"/>
        <w:rPr>
          <w:rStyle w:val="tal1"/>
          <w:rFonts w:ascii="Arial" w:hAnsi="Arial" w:cs="Arial"/>
          <w:sz w:val="18"/>
          <w:szCs w:val="18"/>
          <w:lang w:val="it-CH"/>
        </w:rPr>
      </w:pPr>
      <w:r>
        <w:rPr>
          <w:rStyle w:val="tpa1"/>
          <w:rFonts w:eastAsia="Arial" w:cs="Arial" w:ascii="Arial" w:hAnsi="Arial"/>
          <w:color w:val="auto"/>
          <w:spacing w:val="0"/>
          <w:w w:val="100"/>
          <w:sz w:val="20"/>
          <w:szCs w:val="20"/>
          <w:lang w:val="ro-RO"/>
        </w:rPr>
        <w:t xml:space="preserve">să modifice locul de muncă al salariatelor prevăzute la </w:t>
      </w:r>
      <w:r>
        <w:rPr>
          <w:rStyle w:val="tal1"/>
          <w:rFonts w:eastAsia="Arial" w:cs="Arial" w:ascii="Arial" w:hAnsi="Arial"/>
          <w:color w:val="auto"/>
          <w:spacing w:val="0"/>
          <w:w w:val="100"/>
          <w:sz w:val="20"/>
          <w:szCs w:val="20"/>
          <w:lang w:val="ro-RO"/>
        </w:rPr>
        <w:t>Art.</w:t>
      </w:r>
      <w:r>
        <w:rPr>
          <w:rStyle w:val="tli1"/>
          <w:rFonts w:eastAsia="Arial" w:cs="Arial" w:ascii="Arial" w:hAnsi="Arial"/>
          <w:color w:val="auto"/>
          <w:spacing w:val="0"/>
          <w:w w:val="100"/>
          <w:sz w:val="20"/>
          <w:szCs w:val="20"/>
          <w:lang w:val="ro-RO"/>
        </w:rPr>
        <w:t xml:space="preserve"> 54 lit. a, b, c, din prezentul regulament</w:t>
      </w:r>
      <w:r>
        <w:rPr>
          <w:rStyle w:val="tpa1"/>
          <w:rFonts w:eastAsia="Arial" w:cs="Arial" w:ascii="Arial" w:hAnsi="Arial"/>
          <w:color w:val="auto"/>
          <w:spacing w:val="0"/>
          <w:w w:val="100"/>
          <w:sz w:val="20"/>
          <w:szCs w:val="20"/>
          <w:lang w:val="ro-RO"/>
        </w:rPr>
        <w:t xml:space="preserve"> care </w:t>
      </w:r>
      <w:r>
        <w:rPr>
          <w:rStyle w:val="tal1"/>
          <w:rFonts w:eastAsia="Arial" w:cs="Arial" w:ascii="Arial" w:hAnsi="Arial"/>
          <w:color w:val="auto"/>
          <w:spacing w:val="0"/>
          <w:w w:val="100"/>
          <w:sz w:val="20"/>
          <w:szCs w:val="20"/>
          <w:lang w:val="ro-RO"/>
        </w:rPr>
        <w:t>își desfășoară activitatea numai în poziția ortostatică sau în poziția așezat, astfel încât să li se asigure, la intervale regulate de timp, pauze și amenajări pentru repaus în poziție șezândă sau, respectiv, pentru mișcare, la recomandarea medicului de medicina muncii;</w:t>
      </w:r>
    </w:p>
    <w:p>
      <w:pPr>
        <w:pStyle w:val="Normal"/>
        <w:widowControl/>
        <w:numPr>
          <w:ilvl w:val="0"/>
          <w:numId w:val="13"/>
        </w:numPr>
        <w:spacing w:before="0" w:after="40"/>
        <w:ind w:hanging="360" w:left="1080"/>
        <w:jc w:val="left"/>
        <w:rPr>
          <w:rStyle w:val="tal1"/>
          <w:rFonts w:ascii="Arial" w:hAnsi="Arial" w:cs="Arial"/>
          <w:sz w:val="18"/>
          <w:szCs w:val="18"/>
          <w:lang w:val="fr-FR"/>
        </w:rPr>
      </w:pPr>
      <w:r>
        <w:rPr>
          <w:rStyle w:val="tal1"/>
          <w:rFonts w:eastAsia="Arial" w:cs="Arial" w:ascii="Arial" w:hAnsi="Arial"/>
          <w:color w:val="auto"/>
          <w:spacing w:val="0"/>
          <w:w w:val="100"/>
          <w:sz w:val="20"/>
          <w:szCs w:val="20"/>
          <w:lang w:val="ro-RO"/>
        </w:rPr>
        <w:t>să acorde salariatelor gravide dispensă pentru consultații prenatale, constând în ore libere plătite salariatei, în cazul în care investigațiile medicale se pot efectua numai în timpul programului de lucru;</w:t>
      </w:r>
    </w:p>
    <w:p>
      <w:pPr>
        <w:pStyle w:val="Normal"/>
        <w:widowControl/>
        <w:numPr>
          <w:ilvl w:val="0"/>
          <w:numId w:val="13"/>
        </w:numPr>
        <w:spacing w:before="0" w:after="40"/>
        <w:ind w:hanging="360" w:left="1080"/>
        <w:jc w:val="left"/>
        <w:rPr>
          <w:rStyle w:val="tal1"/>
          <w:rFonts w:ascii="Arial" w:hAnsi="Arial" w:cs="Arial"/>
          <w:sz w:val="18"/>
          <w:szCs w:val="18"/>
          <w:lang w:val="fr-FR"/>
        </w:rPr>
      </w:pPr>
      <w:r>
        <w:rPr>
          <w:rStyle w:val="tal1"/>
          <w:rFonts w:eastAsia="Arial" w:cs="Arial" w:ascii="Arial" w:hAnsi="Arial"/>
          <w:color w:val="auto"/>
          <w:spacing w:val="0"/>
          <w:w w:val="100"/>
          <w:sz w:val="20"/>
          <w:szCs w:val="20"/>
          <w:lang w:val="ro-RO"/>
        </w:rPr>
        <w:t>să acorde salariatelor care alăptează pauze de alăptare de câte o oră fiecare, în timpul programului de lucru/ să reducă durata timpului de muncă cu 2 ore zilnic, fără diminuarea drepturilor salariale;</w:t>
      </w:r>
    </w:p>
    <w:p>
      <w:pPr>
        <w:pStyle w:val="Normal"/>
        <w:widowControl/>
        <w:numPr>
          <w:ilvl w:val="0"/>
          <w:numId w:val="13"/>
        </w:numPr>
        <w:spacing w:before="0" w:after="40"/>
        <w:ind w:hanging="360" w:left="1080"/>
        <w:jc w:val="left"/>
        <w:rPr>
          <w:rStyle w:val="tpa1"/>
          <w:rFonts w:ascii="Arial" w:hAnsi="Arial" w:cs="Arial"/>
          <w:sz w:val="18"/>
          <w:szCs w:val="18"/>
          <w:lang w:val="fr-FR"/>
        </w:rPr>
      </w:pPr>
      <w:r>
        <w:rPr>
          <w:rStyle w:val="tal1"/>
          <w:rFonts w:eastAsia="Arial" w:cs="Arial" w:ascii="Arial" w:hAnsi="Arial"/>
          <w:color w:val="auto"/>
          <w:spacing w:val="0"/>
          <w:w w:val="100"/>
          <w:sz w:val="20"/>
          <w:szCs w:val="20"/>
          <w:lang w:val="ro-RO"/>
        </w:rPr>
        <w:t>să transfere la un alt loc de muncă, cu menținerea salariului de bază brut lunar, salariatele prevăzute la Art.</w:t>
      </w:r>
      <w:r>
        <w:rPr>
          <w:rStyle w:val="tli1"/>
          <w:rFonts w:eastAsia="Arial" w:cs="Arial" w:ascii="Arial" w:hAnsi="Arial"/>
          <w:color w:val="auto"/>
          <w:spacing w:val="0"/>
          <w:w w:val="100"/>
          <w:sz w:val="20"/>
          <w:szCs w:val="20"/>
          <w:lang w:val="ro-RO"/>
        </w:rPr>
        <w:t xml:space="preserve"> 54 lit. a, b, c, </w:t>
      </w:r>
      <w:r>
        <w:rPr>
          <w:rStyle w:val="tal1"/>
          <w:rFonts w:eastAsia="Arial" w:cs="Arial" w:ascii="Arial" w:hAnsi="Arial"/>
          <w:color w:val="auto"/>
          <w:spacing w:val="0"/>
          <w:w w:val="100"/>
          <w:sz w:val="20"/>
          <w:szCs w:val="20"/>
          <w:lang w:val="ro-RO"/>
        </w:rPr>
        <w:t>care desfășoară în mod curent muncă cu caracter insalubru sau greu de suportat.</w:t>
      </w:r>
    </w:p>
    <w:p>
      <w:pPr>
        <w:pStyle w:val="Normal"/>
        <w:widowControl/>
        <w:numPr>
          <w:ilvl w:val="0"/>
          <w:numId w:val="34"/>
        </w:numPr>
        <w:spacing w:before="0" w:after="40"/>
        <w:jc w:val="left"/>
        <w:rPr>
          <w:rStyle w:val="tpa1"/>
          <w:rFonts w:ascii="Arial" w:hAnsi="Arial" w:cs="Arial"/>
          <w:sz w:val="18"/>
          <w:szCs w:val="18"/>
          <w:lang w:val="fr-FR"/>
        </w:rPr>
      </w:pPr>
      <w:r>
        <w:rPr>
          <w:rStyle w:val="tpa1"/>
          <w:rFonts w:eastAsia="Arial" w:cs="Arial" w:ascii="Arial" w:hAnsi="Arial"/>
          <w:color w:val="auto"/>
          <w:spacing w:val="0"/>
          <w:w w:val="100"/>
          <w:sz w:val="20"/>
          <w:szCs w:val="20"/>
          <w:lang w:val="ro-RO"/>
        </w:rPr>
        <w:t xml:space="preserve">Pentru salariatele prevăzute la </w:t>
      </w:r>
      <w:r>
        <w:rPr>
          <w:rStyle w:val="tal1"/>
          <w:rFonts w:eastAsia="Arial" w:cs="Arial" w:ascii="Arial" w:hAnsi="Arial"/>
          <w:color w:val="auto"/>
          <w:spacing w:val="0"/>
          <w:w w:val="100"/>
          <w:sz w:val="20"/>
          <w:szCs w:val="20"/>
          <w:lang w:val="ro-RO"/>
        </w:rPr>
        <w:t>Art.</w:t>
      </w:r>
      <w:r>
        <w:rPr>
          <w:rStyle w:val="tli1"/>
          <w:rFonts w:eastAsia="Arial" w:cs="Arial" w:ascii="Arial" w:hAnsi="Arial"/>
          <w:color w:val="auto"/>
          <w:spacing w:val="0"/>
          <w:w w:val="100"/>
          <w:sz w:val="20"/>
          <w:szCs w:val="20"/>
          <w:lang w:val="ro-RO"/>
        </w:rPr>
        <w:t xml:space="preserve"> 54 lit. a, b, c, din prezentul regulament</w:t>
      </w:r>
      <w:r>
        <w:rPr>
          <w:rStyle w:val="tpa1"/>
          <w:rFonts w:eastAsia="Arial" w:cs="Arial" w:ascii="Arial" w:hAnsi="Arial"/>
          <w:color w:val="auto"/>
          <w:spacing w:val="0"/>
          <w:w w:val="100"/>
          <w:sz w:val="20"/>
          <w:szCs w:val="20"/>
          <w:lang w:val="ro-RO"/>
        </w:rPr>
        <w:t xml:space="preserve"> care desfășoară activitate care </w:t>
      </w:r>
      <w:r>
        <w:rPr>
          <w:rFonts w:eastAsia="Arial" w:cs="Arial" w:ascii="Arial" w:hAnsi="Arial"/>
          <w:color w:val="auto"/>
          <w:spacing w:val="0"/>
          <w:w w:val="100"/>
          <w:sz w:val="20"/>
          <w:szCs w:val="20"/>
          <w:lang w:val="ro-RO"/>
        </w:rPr>
        <w:t xml:space="preserve">prezintă riscuri pentru sănătate sau securitate ori cu repercusiuni asupra sarcinii și alăptării, angajatorul trebuie </w:t>
      </w:r>
      <w:r>
        <w:rPr>
          <w:rStyle w:val="tpa1"/>
          <w:rFonts w:eastAsia="Arial" w:cs="Arial" w:ascii="Arial" w:hAnsi="Arial"/>
          <w:color w:val="auto"/>
          <w:spacing w:val="0"/>
          <w:w w:val="100"/>
          <w:sz w:val="20"/>
          <w:szCs w:val="20"/>
          <w:lang w:val="ro-RO"/>
        </w:rPr>
        <w:t>să modifice în mod corespunzător condițiile și/ sau orarul de muncă ori, să repartizeze la alt loc de muncă, conform recomandării medicului de medicina muncii sau a medicului de familie, cu menținerea veniturilor salariale.</w:t>
      </w:r>
    </w:p>
    <w:p>
      <w:pPr>
        <w:pStyle w:val="Normal"/>
        <w:keepNext/>
        <w:widowControl/>
        <w:numPr>
          <w:ilvl w:val="0"/>
          <w:numId w:val="34"/>
        </w:numPr>
        <w:spacing w:before="0" w:after="40"/>
        <w:jc w:val="left"/>
        <w:rPr>
          <w:rFonts w:ascii="Arial" w:hAnsi="Arial" w:cs="Arial"/>
          <w:sz w:val="18"/>
          <w:szCs w:val="18"/>
          <w:lang w:val="fr-FR"/>
        </w:rPr>
      </w:pPr>
      <w:r>
        <w:rPr>
          <w:rStyle w:val="tal1"/>
          <w:rFonts w:eastAsia="Arial" w:cs="Arial" w:ascii="Arial" w:hAnsi="Arial"/>
          <w:color w:val="auto"/>
          <w:spacing w:val="0"/>
          <w:w w:val="100"/>
          <w:sz w:val="20"/>
          <w:szCs w:val="20"/>
          <w:lang w:val="ro-RO"/>
        </w:rPr>
        <w:t>În cazul în care angajatorul, din motive justificate în mod obiectiv, nu poate să îndeplinească obligația prevăzută la Art. 60, salariatele prevăzute la Art.</w:t>
      </w:r>
      <w:r>
        <w:rPr>
          <w:rStyle w:val="tli1"/>
          <w:rFonts w:eastAsia="Arial" w:cs="Arial" w:ascii="Arial" w:hAnsi="Arial"/>
          <w:color w:val="auto"/>
          <w:spacing w:val="0"/>
          <w:w w:val="100"/>
          <w:sz w:val="20"/>
          <w:szCs w:val="20"/>
          <w:lang w:val="ro-RO"/>
        </w:rPr>
        <w:t xml:space="preserve"> 54 lit. a, b, c, din prezentul regulament</w:t>
      </w:r>
      <w:r>
        <w:rPr>
          <w:rStyle w:val="tal1"/>
          <w:rFonts w:eastAsia="Arial" w:cs="Arial" w:ascii="Arial" w:hAnsi="Arial"/>
          <w:color w:val="auto"/>
          <w:spacing w:val="0"/>
          <w:w w:val="100"/>
          <w:sz w:val="20"/>
          <w:szCs w:val="20"/>
          <w:lang w:val="ro-RO"/>
        </w:rPr>
        <w:t xml:space="preserve"> au dreptul la concediu de risc maternal, numai dacă solicitarea este însoțită de documentul medical, astfel:</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integral sau fracționat, până în a 63-a zi anterioară datei estimate a nașterii copilului, respectiv datei intrării în concediul de maternitate;</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integral sau fracționat după expirarea concediului postnatal obligatoriu și dacă este cazul, până la data intrării în concediu pentru creșterea copilului în vârstă de până la 2 ani sau în cazul copilului cu handicap, până la 3 ani;</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integral sau fracționat, înainte sau după nașterea copilului, pentru salariata care nu îndeplinește condițiile pentru a beneficia de concediul de maternitate.</w:t>
      </w:r>
    </w:p>
    <w:p>
      <w:pPr>
        <w:pStyle w:val="Normal"/>
        <w:widowControl/>
        <w:numPr>
          <w:ilvl w:val="0"/>
          <w:numId w:val="34"/>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Concediul de risc maternal se poate acorda, în întregime sau fracționat, pe o perioadă ce nu poate depăși 120 de zile calendaristice, de către medicul de familie sau de medicul specialist, care va elibera un certificat medical în acest sens, dar nu poate fi acordat simultan cu alte concedii prevăzute de legislația privind sistemul public de pensii și alte drepturi de asigurări sociale.</w:t>
      </w:r>
    </w:p>
    <w:sectPr>
      <w:headerReference w:type="even" r:id="rId8"/>
      <w:headerReference w:type="default" r:id="rId9"/>
      <w:headerReference w:type="first" r:id="rId10"/>
      <w:footerReference w:type="even" r:id="rId11"/>
      <w:footerReference w:type="default" r:id="rId12"/>
      <w:footerReference w:type="first" r:id="rId13"/>
      <w:type w:val="nextPage"/>
      <w:pgSz w:w="11906" w:h="16838"/>
      <w:pgMar w:left="1417" w:right="1134" w:gutter="0" w:header="680" w:top="2629"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altName w:val="Calibri"/>
    <w:charset w:val="01"/>
    <w:family w:val="roman"/>
    <w:pitch w:val="variable"/>
  </w:font>
  <w:font w:name="TimesNewRomanPSMT">
    <w:altName w:val="Times New Roman"/>
    <w:charset w:val="01"/>
    <w:family w:val="roman"/>
    <w:pitch w:val="variable"/>
  </w:font>
  <w:font w:name="Wingdings">
    <w:charset w:val="02"/>
    <w:family w:val="roman"/>
    <w:pitch w:val="variable"/>
  </w:font>
  <w:font w:name="Courier New">
    <w:charset w:val="01"/>
    <w:family w:val="roman"/>
    <w:pitch w:val="variable"/>
  </w:font>
  <w:font w:name="Arial Unicode MS">
    <w:charset w:val="01"/>
    <w:family w:val="swiss"/>
    <w:pitch w:val="variable"/>
  </w:font>
  <w:font w:name="Century Gothic">
    <w:charset w:val="01"/>
    <w:family w:val="swiss"/>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Eurostyle">
    <w:altName w:val="Arial Narrow"/>
    <w:charset w:val="01"/>
    <w:family w:val="roman"/>
    <w:pitch w:val="variable"/>
  </w:font>
  <w:font w:name="TimesRomanR">
    <w:altName w:val="Times New Roman"/>
    <w:charset w:val="01"/>
    <w:family w:val="roman"/>
    <w:pitch w:val="variable"/>
  </w:font>
  <w:font w:name="HiddenHorzOCl">
    <w:altName w:val="Arial"/>
    <w:charset w:val="01"/>
    <w:family w:val="roman"/>
    <w:pitch w:val="variable"/>
  </w:font>
  <w:font w:name="Arial">
    <w:charset w:val="01"/>
    <w:family w:val="roman"/>
    <w:pitch w:val="variable"/>
  </w:font>
  <w:font w:name="Verdana">
    <w:charset w:val="01"/>
    <w:family w:val="swiss"/>
    <w:pitch w:val="variable"/>
  </w:font>
  <w:font w:name="Symbol">
    <w:charset w:val="02"/>
    <w:family w:val="auto"/>
    <w:pitch w:val="default"/>
  </w:font>
  <w:font w:name="Wingdings">
    <w:charset w:val="02"/>
    <w:family w:val="auto"/>
    <w:pitch w:val="default"/>
  </w:font>
  <w:font w:name="Courier New">
    <w:charset w:val="01"/>
    <w:family w:val="modern"/>
    <w:pitch w:val="fixed"/>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720"/>
        </w:tabs>
        <w:ind w:left="720" w:hanging="360"/>
      </w:pPr>
      <w:rPr>
        <w:b/>
        <w:i w:val="false"/>
        <w:sz w:val="18"/>
        <w:szCs w:val="18"/>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lowerLetter"/>
      <w:lvlText w:val="%4)"/>
      <w:lvlJc w:val="left"/>
      <w:pPr>
        <w:tabs>
          <w:tab w:val="num" w:pos="720"/>
        </w:tabs>
        <w:ind w:left="720" w:hanging="360"/>
      </w:pPr>
      <w:rPr>
        <w:b/>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Art. %1."/>
      <w:lvlJc w:val="left"/>
      <w:pPr>
        <w:tabs>
          <w:tab w:val="num" w:pos="1080"/>
        </w:tabs>
        <w:ind w:left="0" w:hanging="0"/>
      </w:pPr>
      <w:rPr>
        <w:rFonts w:ascii="Arial" w:hAnsi="Arial" w:cs="Arial"/>
        <w:b/>
        <w:i w:val="false"/>
        <w:sz w:val="18"/>
        <w:szCs w:val="18"/>
      </w:rPr>
    </w:lvl>
    <w:lvl w:ilvl="1">
      <w:start w:val="1"/>
      <w:numFmt w:val="decimal"/>
      <w:lvlText w:val="%2."/>
      <w:lvlJc w:val="left"/>
      <w:pPr>
        <w:tabs>
          <w:tab w:val="num" w:pos="720"/>
        </w:tabs>
        <w:ind w:left="720" w:hanging="360"/>
      </w:pPr>
      <w:rPr>
        <w:b/>
        <w:i w:val="false"/>
        <w:sz w:val="18"/>
        <w:szCs w:val="18"/>
      </w:rPr>
    </w:lvl>
    <w:lvl w:ilvl="2">
      <w:start w:val="1"/>
      <w:numFmt w:val="lowerLetter"/>
      <w:lvlText w:val="%3)"/>
      <w:lvlJc w:val="left"/>
      <w:pPr>
        <w:tabs>
          <w:tab w:val="num" w:pos="720"/>
        </w:tabs>
        <w:ind w:left="720" w:hanging="360"/>
      </w:pPr>
      <w:rPr>
        <w:b/>
        <w:i w:val="false"/>
        <w:sz w:val="18"/>
        <w:szCs w:val="18"/>
      </w:rPr>
    </w:lvl>
    <w:lvl w:ilvl="3">
      <w:start w:val="1"/>
      <w:numFmt w:val="lowerLetter"/>
      <w:lvlText w:val="%4)"/>
      <w:lvlJc w:val="left"/>
      <w:pPr>
        <w:tabs>
          <w:tab w:val="num" w:pos="720"/>
        </w:tabs>
        <w:ind w:left="720" w:hanging="360"/>
      </w:pPr>
      <w:rPr>
        <w:b/>
        <w:i w:val="false"/>
        <w:sz w:val="18"/>
        <w:szCs w:val="18"/>
      </w:rPr>
    </w:lvl>
    <w:lvl w:ilvl="4">
      <w:start w:val="1"/>
      <w:numFmt w:val="lowerLetter"/>
      <w:lvlText w:val="%5."/>
      <w:lvlJc w:val="left"/>
      <w:pPr>
        <w:tabs>
          <w:tab w:val="num" w:pos="3528"/>
        </w:tabs>
        <w:ind w:left="3528" w:hanging="360"/>
      </w:pPr>
      <w:rPr/>
    </w:lvl>
    <w:lvl w:ilvl="5">
      <w:start w:val="1"/>
      <w:numFmt w:val="lowerRoman"/>
      <w:lvlText w:val="%6."/>
      <w:lvlJc w:val="right"/>
      <w:pPr>
        <w:tabs>
          <w:tab w:val="num" w:pos="4248"/>
        </w:tabs>
        <w:ind w:left="4248" w:hanging="180"/>
      </w:pPr>
      <w:rPr/>
    </w:lvl>
    <w:lvl w:ilvl="6">
      <w:start w:val="1"/>
      <w:numFmt w:val="decimal"/>
      <w:lvlText w:val="%7."/>
      <w:lvlJc w:val="left"/>
      <w:pPr>
        <w:tabs>
          <w:tab w:val="num" w:pos="4968"/>
        </w:tabs>
        <w:ind w:left="4968" w:hanging="360"/>
      </w:pPr>
      <w:rPr/>
    </w:lvl>
    <w:lvl w:ilvl="7">
      <w:start w:val="1"/>
      <w:numFmt w:val="lowerLetter"/>
      <w:lvlText w:val="%8."/>
      <w:lvlJc w:val="left"/>
      <w:pPr>
        <w:tabs>
          <w:tab w:val="num" w:pos="5688"/>
        </w:tabs>
        <w:ind w:left="5688" w:hanging="360"/>
      </w:pPr>
      <w:rPr/>
    </w:lvl>
    <w:lvl w:ilvl="8">
      <w:start w:val="1"/>
      <w:numFmt w:val="lowerRoman"/>
      <w:lvlText w:val="%9."/>
      <w:lvlJc w:val="right"/>
      <w:pPr>
        <w:tabs>
          <w:tab w:val="num" w:pos="6408"/>
        </w:tabs>
        <w:ind w:left="6408" w:hanging="180"/>
      </w:pPr>
      <w:rPr/>
    </w:lvl>
  </w:abstractNum>
  <w:abstractNum w:abstractNumId="10">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Symbol" w:hAnsi="Symbol" w:cs="Symbol" w:hint="default"/>
        <w:b w:val="false"/>
        <w:sz w:val="18"/>
        <w:szCs w:val="18"/>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1">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lvl w:ilvl="0">
      <w:start w:val="1"/>
      <w:numFmt w:val="lowerLetter"/>
      <w:lvlText w:val="%1)"/>
      <w:lvlJc w:val="left"/>
      <w:pPr>
        <w:tabs>
          <w:tab w:val="num" w:pos="720"/>
        </w:tabs>
        <w:ind w:left="720" w:hanging="360"/>
      </w:pPr>
      <w:rPr>
        <w:rFonts w:ascii="Arial" w:hAnsi="Arial" w:eastAsia="Times New Roman" w:cs="Arial"/>
        <w:b/>
        <w:i w:val="false"/>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decimal"/>
      <w:lvlText w:val="%1."/>
      <w:lvlJc w:val="left"/>
      <w:pPr>
        <w:tabs>
          <w:tab w:val="num" w:pos="720"/>
        </w:tabs>
        <w:ind w:left="720" w:hanging="360"/>
      </w:pPr>
      <w:rPr>
        <w:b/>
        <w:i w:val="false"/>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lvl w:ilvl="0">
      <w:start w:val="1"/>
      <w:numFmt w:val="decimal"/>
      <w:lvlText w:val="Art. %1."/>
      <w:lvlJc w:val="left"/>
      <w:pPr>
        <w:tabs>
          <w:tab w:val="num" w:pos="1320"/>
        </w:tabs>
        <w:ind w:left="240" w:hanging="0"/>
      </w:pPr>
      <w:rPr>
        <w:rFonts w:ascii="Arial" w:hAnsi="Arial" w:cs="Arial"/>
        <w:b/>
        <w:i w:val="false"/>
        <w:sz w:val="18"/>
        <w:szCs w:val="18"/>
        <w:lang w:val="it-IT"/>
      </w:rPr>
    </w:lvl>
    <w:lvl w:ilvl="1">
      <w:start w:val="1"/>
      <w:numFmt w:val="decimal"/>
      <w:lvlText w:val="Art. %2."/>
      <w:lvlJc w:val="left"/>
      <w:pPr>
        <w:tabs>
          <w:tab w:val="num" w:pos="2160"/>
        </w:tabs>
        <w:ind w:left="1080" w:hanging="0"/>
      </w:pPr>
      <w:rPr>
        <w:rFonts w:ascii="Arial" w:hAnsi="Arial" w:cs="Arial"/>
        <w:b/>
        <w:i w:val="false"/>
        <w:sz w:val="20"/>
        <w:szCs w:val="20"/>
        <w:lang w:val="es-ES_tradnl"/>
      </w:rPr>
    </w:lvl>
    <w:lvl w:ilvl="2">
      <w:start w:val="1"/>
      <w:numFmt w:val="lowerLetter"/>
      <w:lvlText w:val="%3)"/>
      <w:lvlJc w:val="left"/>
      <w:pPr>
        <w:tabs>
          <w:tab w:val="num" w:pos="720"/>
        </w:tabs>
        <w:ind w:left="720" w:hanging="360"/>
      </w:pPr>
      <w:rPr>
        <w:rFonts w:ascii="Arial" w:hAnsi="Arial" w:cs="Arial"/>
        <w:b/>
        <w:i w:val="false"/>
        <w:sz w:val="18"/>
        <w:szCs w:val="18"/>
        <w:lang w:val="it-IT"/>
      </w:rPr>
    </w:lvl>
    <w:lvl w:ilvl="3">
      <w:start w:val="1"/>
      <w:numFmt w:val="decimal"/>
      <w:lvlText w:val="%4."/>
      <w:lvlJc w:val="left"/>
      <w:pPr>
        <w:tabs>
          <w:tab w:val="num" w:pos="720"/>
        </w:tabs>
        <w:ind w:left="720" w:hanging="360"/>
      </w:pPr>
      <w:rPr>
        <w:b/>
        <w:i w:val="false"/>
        <w:sz w:val="18"/>
        <w:szCs w:val="18"/>
        <w:lang w:val="ro-RO"/>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5">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6">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7">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9">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0">
    <w:lvl w:ilvl="0">
      <w:start w:val="1"/>
      <w:numFmt w:val="lowerLetter"/>
      <w:lvlText w:val="%1)"/>
      <w:lvlJc w:val="left"/>
      <w:pPr>
        <w:tabs>
          <w:tab w:val="num" w:pos="720"/>
        </w:tabs>
        <w:ind w:left="720" w:hanging="360"/>
      </w:pPr>
      <w:rPr>
        <w:rFonts w:ascii="Arial" w:hAnsi="Arial" w:eastAsia="Times New Roman" w:cs="Arial"/>
        <w:b/>
      </w:rPr>
    </w:lvl>
    <w:lvl w:ilvl="1">
      <w:start w:val="1"/>
      <w:numFmt w:val="bullet"/>
      <w:lvlText w:val=""/>
      <w:lvlJc w:val="left"/>
      <w:pPr>
        <w:tabs>
          <w:tab w:val="num" w:pos="720"/>
        </w:tabs>
        <w:ind w:left="720" w:hanging="360"/>
      </w:pPr>
      <w:rPr>
        <w:rFonts w:ascii="Symbol" w:hAnsi="Symbol" w:cs="Symbol" w:hint="default"/>
        <w:b/>
        <w:sz w:val="18"/>
        <w:szCs w:val="18"/>
      </w:rPr>
    </w:lvl>
    <w:lvl w:ilvl="2">
      <w:start w:val="1"/>
      <w:numFmt w:val="bullet"/>
      <w:lvlText w:val=""/>
      <w:lvlJc w:val="left"/>
      <w:pPr>
        <w:tabs>
          <w:tab w:val="num" w:pos="786"/>
        </w:tabs>
        <w:ind w:left="786"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1">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3">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4">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5">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6">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7">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Symbol" w:hAnsi="Symbol" w:cs="Symbol" w:hint="default"/>
      </w:rPr>
    </w:lvl>
    <w:lvl w:ilvl="2">
      <w:start w:val="1"/>
      <w:numFmt w:val="decimal"/>
      <w:lvlText w:val="Art.%3."/>
      <w:lvlJc w:val="left"/>
      <w:pPr>
        <w:tabs>
          <w:tab w:val="num" w:pos="0"/>
        </w:tabs>
        <w:ind w:left="0" w:hanging="0"/>
      </w:pPr>
      <w:rPr>
        <w:rFonts w:ascii="Times New Roman" w:hAnsi="Times New Roman" w:cs="Times New Roman"/>
        <w:b/>
        <w:i w:val="false"/>
        <w:sz w:val="22"/>
        <w:szCs w:val="22"/>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9">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0">
    <w:lvl w:ilvl="0">
      <w:start w:val="1"/>
      <w:numFmt w:val="lowerLetter"/>
      <w:lvlText w:val="%1)"/>
      <w:lvlJc w:val="left"/>
      <w:pPr>
        <w:tabs>
          <w:tab w:val="num" w:pos="720"/>
        </w:tabs>
        <w:ind w:left="720" w:hanging="360"/>
      </w:pPr>
      <w:rPr>
        <w:b/>
        <w:lang w:val="ro-RO"/>
      </w:rPr>
    </w:lvl>
    <w:lvl w:ilvl="1">
      <w:start w:val="1"/>
      <w:numFmt w:val="decimal"/>
      <w:lvlText w:val="Art.%2."/>
      <w:lvlJc w:val="left"/>
      <w:pPr>
        <w:tabs>
          <w:tab w:val="num" w:pos="1080"/>
        </w:tabs>
        <w:ind w:left="1080" w:hanging="0"/>
      </w:pPr>
      <w:rPr>
        <w:b/>
        <w:i w:val="false"/>
        <w:sz w:val="22"/>
        <w:szCs w:val="22"/>
      </w:rPr>
    </w:lvl>
    <w:lvl w:ilvl="2">
      <w:start w:val="1"/>
      <w:numFmt w:val="lowerLetter"/>
      <w:lvlText w:val="%3)"/>
      <w:lvlJc w:val="left"/>
      <w:pPr>
        <w:tabs>
          <w:tab w:val="num" w:pos="720"/>
        </w:tabs>
        <w:ind w:left="720" w:hanging="360"/>
      </w:pPr>
      <w:rPr>
        <w:b/>
      </w:rPr>
    </w:lvl>
    <w:lvl w:ilvl="3">
      <w:start w:val="2"/>
      <w:numFmt w:val="bullet"/>
      <w:lvlText w:val="-"/>
      <w:lvlJc w:val="left"/>
      <w:pPr>
        <w:tabs>
          <w:tab w:val="num" w:pos="2880"/>
        </w:tabs>
        <w:ind w:left="2880" w:hanging="360"/>
      </w:pPr>
      <w:rPr>
        <w:rFonts w:ascii="Times New Roman" w:hAnsi="Times New Roman" w:cs="Times New Roman" w:hint="default"/>
      </w:rPr>
    </w:lvl>
    <w:lvl w:ilvl="4">
      <w:start w:val="1"/>
      <w:numFmt w:val="decimal"/>
      <w:lvlText w:val="(%5)"/>
      <w:lvlJc w:val="left"/>
      <w:pPr>
        <w:tabs>
          <w:tab w:val="num" w:pos="3600"/>
        </w:tabs>
        <w:ind w:left="3600" w:hanging="360"/>
      </w:pPr>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1">
    <w:lvl w:ilvl="0">
      <w:start w:val="1"/>
      <w:numFmt w:val="lowerLetter"/>
      <w:lvlText w:val="%1)"/>
      <w:lvlJc w:val="left"/>
      <w:pPr>
        <w:tabs>
          <w:tab w:val="num" w:pos="720"/>
        </w:tabs>
        <w:ind w:left="720" w:hanging="360"/>
      </w:pPr>
      <w:rPr>
        <w:rFonts w:ascii="Arial" w:hAnsi="Arial" w:cs="Arial"/>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2">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3">
    <w:lvl w:ilvl="0">
      <w:start w:val="1"/>
      <w:numFmt w:val="lowerLetter"/>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4">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5">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6">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7">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8">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9">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0">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52">
    <w:lvl w:ilvl="0">
      <w:start w:val="1"/>
      <w:numFmt w:val="decimal"/>
      <w:lvlText w:val="%1."/>
      <w:lvlJc w:val="left"/>
      <w:pPr>
        <w:tabs>
          <w:tab w:val="num" w:pos="720"/>
        </w:tabs>
        <w:ind w:left="720" w:hanging="360"/>
      </w:pPr>
      <w:rPr>
        <w:b/>
        <w:i w:val="false"/>
        <w:sz w:val="18"/>
        <w:szCs w:val="18"/>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lowerLetter"/>
      <w:lvlText w:val="%4)"/>
      <w:lvlJc w:val="left"/>
      <w:pPr>
        <w:tabs>
          <w:tab w:val="num" w:pos="720"/>
        </w:tabs>
        <w:ind w:left="720" w:hanging="360"/>
      </w:pPr>
      <w:rPr>
        <w:b/>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0"/>
    <w:lvlOverride w:ilvl="0">
      <w:startOverride w:val="1"/>
    </w:lvlOverride>
  </w:num>
  <w:num w:numId="53">
    <w:abstractNumId w:val="52"/>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zh-CN" w:bidi="ar-SA"/>
    </w:rPr>
  </w:style>
  <w:style w:type="paragraph" w:styleId="Heading1">
    <w:name w:val="heading 1"/>
    <w:basedOn w:val="Normal"/>
    <w:next w:val="Normal"/>
    <w:pPr>
      <w:keepNext w:val="true"/>
      <w:numPr>
        <w:ilvl w:val="0"/>
        <w:numId w:val="1"/>
      </w:numPr>
      <w:spacing w:before="240" w:after="60"/>
      <w:outlineLvl w:val="0"/>
    </w:pPr>
    <w:rPr>
      <w:rFonts w:ascii="Arial" w:hAnsi="Arial" w:cs="Arial"/>
      <w:b/>
      <w:bCs/>
      <w:kern w:val="2"/>
      <w:sz w:val="32"/>
      <w:szCs w:val="32"/>
      <w:lang w:val="en-US"/>
    </w:rPr>
  </w:style>
  <w:style w:type="paragraph" w:styleId="Heading2">
    <w:name w:val="heading 2"/>
    <w:basedOn w:val="Normal"/>
    <w:next w:val="Normal"/>
    <w:pPr>
      <w:keepNext w:val="true"/>
      <w:numPr>
        <w:ilvl w:val="1"/>
        <w:numId w:val="1"/>
      </w:numPr>
      <w:tabs>
        <w:tab w:val="clear" w:pos="720"/>
        <w:tab w:val="left" w:pos="504" w:leader="none"/>
      </w:tabs>
      <w:ind w:hanging="0" w:left="-576" w:right="0"/>
      <w:outlineLvl w:val="1"/>
    </w:pPr>
    <w:rPr>
      <w:b/>
      <w:sz w:val="28"/>
    </w:rPr>
  </w:style>
  <w:style w:type="paragraph" w:styleId="Heading3">
    <w:name w:val="heading 3"/>
    <w:basedOn w:val="Normal"/>
    <w:next w:val="Normal"/>
    <w:pPr>
      <w:keepNext w:val="true"/>
      <w:numPr>
        <w:ilvl w:val="2"/>
        <w:numId w:val="1"/>
      </w:numPr>
      <w:tabs>
        <w:tab w:val="clear" w:pos="720"/>
        <w:tab w:val="left" w:pos="432" w:leader="none"/>
      </w:tabs>
      <w:ind w:hanging="432" w:left="432" w:right="0"/>
      <w:outlineLvl w:val="2"/>
    </w:pPr>
    <w:rPr>
      <w:rFonts w:ascii="Metro;Calibri" w:hAnsi="Metro;Calibri" w:cs="Metro;Calibri"/>
      <w:b/>
      <w:caps/>
      <w:sz w:val="32"/>
    </w:rPr>
  </w:style>
  <w:style w:type="paragraph" w:styleId="Heading4">
    <w:name w:val="heading 4"/>
    <w:basedOn w:val="Normal"/>
    <w:next w:val="Normal"/>
    <w:pPr>
      <w:keepNext w:val="true"/>
      <w:numPr>
        <w:ilvl w:val="3"/>
        <w:numId w:val="1"/>
      </w:numPr>
      <w:tabs>
        <w:tab w:val="clear" w:pos="720"/>
        <w:tab w:val="left" w:pos="288" w:leader="none"/>
      </w:tabs>
      <w:ind w:hanging="144" w:left="288" w:right="0"/>
      <w:jc w:val="center"/>
      <w:outlineLvl w:val="3"/>
    </w:pPr>
    <w:rPr>
      <w:b/>
      <w:sz w:val="28"/>
    </w:rPr>
  </w:style>
  <w:style w:type="paragraph" w:styleId="Heading5">
    <w:name w:val="heading 5"/>
    <w:basedOn w:val="Normal"/>
    <w:next w:val="Normal"/>
    <w:pPr>
      <w:keepNext w:val="true"/>
      <w:numPr>
        <w:ilvl w:val="4"/>
        <w:numId w:val="1"/>
      </w:numPr>
      <w:jc w:val="center"/>
      <w:outlineLvl w:val="4"/>
    </w:pPr>
    <w:rPr>
      <w:i/>
      <w:iCs/>
      <w:lang w:val="ro-RO"/>
    </w:rPr>
  </w:style>
  <w:style w:type="paragraph" w:styleId="Heading6">
    <w:name w:val="heading 6"/>
    <w:basedOn w:val="Normal"/>
    <w:next w:val="Normal"/>
    <w:pPr>
      <w:numPr>
        <w:ilvl w:val="5"/>
        <w:numId w:val="1"/>
      </w:numPr>
      <w:spacing w:before="240" w:after="60"/>
      <w:outlineLvl w:val="5"/>
    </w:pPr>
    <w:rPr>
      <w:b/>
      <w:bCs/>
      <w:sz w:val="22"/>
      <w:szCs w:val="22"/>
    </w:rPr>
  </w:style>
  <w:style w:type="paragraph" w:styleId="Heading7">
    <w:name w:val="heading 7"/>
    <w:basedOn w:val="Normal"/>
    <w:next w:val="Normal"/>
    <w:pPr>
      <w:keepNext w:val="true"/>
      <w:numPr>
        <w:ilvl w:val="6"/>
        <w:numId w:val="1"/>
      </w:numPr>
      <w:tabs>
        <w:tab w:val="left" w:pos="720" w:leader="none"/>
      </w:tabs>
      <w:ind w:hanging="288" w:left="720" w:right="0"/>
      <w:jc w:val="center"/>
      <w:outlineLvl w:val="6"/>
    </w:pPr>
    <w:rPr>
      <w:sz w:val="28"/>
    </w:rPr>
  </w:style>
  <w:style w:type="paragraph" w:styleId="Heading8">
    <w:name w:val="heading 8"/>
    <w:basedOn w:val="Normal"/>
    <w:next w:val="Normal"/>
    <w:pPr>
      <w:keepNext w:val="true"/>
      <w:numPr>
        <w:ilvl w:val="7"/>
        <w:numId w:val="1"/>
      </w:numPr>
      <w:tabs>
        <w:tab w:val="clear" w:pos="720"/>
        <w:tab w:val="left" w:pos="864" w:leader="none"/>
      </w:tabs>
      <w:ind w:hanging="432" w:left="864" w:right="0"/>
      <w:jc w:val="center"/>
      <w:outlineLvl w:val="7"/>
    </w:pPr>
    <w:rPr>
      <w:rFonts w:ascii="TimesNewRomanPSMT;Times New Roman" w:hAnsi="TimesNewRomanPSMT;Times New Roman" w:cs="TimesNewRomanPSMT;Times New Roman"/>
      <w:sz w:val="24"/>
    </w:rPr>
  </w:style>
  <w:style w:type="paragraph" w:styleId="Heading9">
    <w:name w:val="heading 9"/>
    <w:basedOn w:val="Normal"/>
    <w:next w:val="Normal"/>
    <w:pPr>
      <w:keepNext w:val="true"/>
      <w:numPr>
        <w:ilvl w:val="8"/>
        <w:numId w:val="1"/>
      </w:numPr>
      <w:tabs>
        <w:tab w:val="clear" w:pos="720"/>
        <w:tab w:val="left" w:pos="1008" w:leader="none"/>
      </w:tabs>
      <w:ind w:hanging="144" w:left="1008" w:right="0"/>
      <w:jc w:val="center"/>
      <w:outlineLvl w:val="8"/>
    </w:pPr>
    <w:rPr>
      <w:b/>
      <w:bCs/>
      <w:sz w:val="24"/>
      <w:szCs w:val="24"/>
      <w:lang w:val="en-GB"/>
    </w:rPr>
  </w:style>
  <w:style w:type="character" w:styleId="WW8Num1z0">
    <w:name w:val="WW8Num1z0"/>
    <w:rPr>
      <w:rFonts w:ascii="Arial" w:hAnsi="Arial" w:cs="Arial"/>
      <w:b/>
      <w:i w:val="false"/>
      <w:sz w:val="18"/>
      <w:szCs w:val="18"/>
      <w:lang w:val="it-IT"/>
    </w:rPr>
  </w:style>
  <w:style w:type="character" w:styleId="WW8Num2z0">
    <w:name w:val="WW8Num2z0"/>
    <w:rPr>
      <w:b/>
    </w:rPr>
  </w:style>
  <w:style w:type="character" w:styleId="WW8Num3z0">
    <w:name w:val="WW8Num3z0"/>
    <w:rPr>
      <w:rFonts w:ascii="Arial" w:hAnsi="Arial" w:cs="Arial"/>
      <w:b/>
      <w:i w:val="false"/>
      <w:sz w:val="18"/>
      <w:szCs w:val="18"/>
      <w:lang w:val="it-IT"/>
    </w:rPr>
  </w:style>
  <w:style w:type="character" w:styleId="WW8Num4z0">
    <w:name w:val="WW8Num4z0"/>
    <w:rPr>
      <w:b/>
    </w:rPr>
  </w:style>
  <w:style w:type="character" w:styleId="WW8Num5z0">
    <w:name w:val="WW8Num5z0"/>
    <w:rPr>
      <w:b/>
    </w:rPr>
  </w:style>
  <w:style w:type="character" w:styleId="WW8Num6z0">
    <w:name w:val="WW8Num6z0"/>
    <w:rPr>
      <w:b/>
    </w:rPr>
  </w:style>
  <w:style w:type="character" w:styleId="WW8Num7z0">
    <w:name w:val="WW8Num7z0"/>
    <w:rPr>
      <w:b/>
      <w:i w:val="false"/>
      <w:sz w:val="18"/>
      <w:szCs w:val="18"/>
    </w:rPr>
  </w:style>
  <w:style w:type="character" w:styleId="WW8Num7z3">
    <w:name w:val="WW8Num7z3"/>
    <w:rPr>
      <w:b/>
    </w:rPr>
  </w:style>
  <w:style w:type="character" w:styleId="WW8Num8z0">
    <w:name w:val="WW8Num8z0"/>
    <w:rPr>
      <w:rFonts w:ascii="Arial" w:hAnsi="Arial" w:cs="Arial"/>
      <w:b/>
      <w:i w:val="false"/>
      <w:sz w:val="18"/>
      <w:szCs w:val="18"/>
      <w:lang w:val="it-IT"/>
    </w:rPr>
  </w:style>
  <w:style w:type="character" w:styleId="WW8Num9z0">
    <w:name w:val="WW8Num9z0"/>
    <w:rPr>
      <w:rFonts w:ascii="Arial" w:hAnsi="Arial" w:cs="Arial"/>
      <w:b/>
      <w:i w:val="false"/>
      <w:sz w:val="18"/>
      <w:szCs w:val="18"/>
    </w:rPr>
  </w:style>
  <w:style w:type="character" w:styleId="WW8Num9z1">
    <w:name w:val="WW8Num9z1"/>
    <w:rPr>
      <w:b/>
      <w:i w:val="false"/>
      <w:sz w:val="18"/>
      <w:szCs w:val="18"/>
    </w:rPr>
  </w:style>
  <w:style w:type="character" w:styleId="WW8Num10z0">
    <w:name w:val="WW8Num10z0"/>
    <w:rPr>
      <w:b/>
    </w:rPr>
  </w:style>
  <w:style w:type="character" w:styleId="WW8Num10z1">
    <w:name w:val="WW8Num10z1"/>
    <w:rPr>
      <w:rFonts w:ascii="Symbol" w:hAnsi="Symbol" w:cs="Symbol"/>
      <w:b w:val="false"/>
      <w:sz w:val="18"/>
      <w:szCs w:val="18"/>
    </w:rPr>
  </w:style>
  <w:style w:type="character" w:styleId="WW8Num10z2">
    <w:name w:val="WW8Num10z2"/>
    <w:rPr>
      <w:rFonts w:ascii="Wingdings" w:hAnsi="Wingdings" w:cs="Wingdings"/>
    </w:rPr>
  </w:style>
  <w:style w:type="character" w:styleId="WW8Num10z3">
    <w:name w:val="WW8Num10z3"/>
    <w:rPr>
      <w:rFonts w:ascii="Symbol" w:hAnsi="Symbol" w:cs="Symbol"/>
    </w:rPr>
  </w:style>
  <w:style w:type="character" w:styleId="WW8Num10z4">
    <w:name w:val="WW8Num10z4"/>
    <w:rPr>
      <w:rFonts w:ascii="Courier New" w:hAnsi="Courier New" w:cs="Courier New"/>
    </w:rPr>
  </w:style>
  <w:style w:type="character" w:styleId="WW8Num11z0">
    <w:name w:val="WW8Num11z0"/>
    <w:rPr>
      <w:rFonts w:ascii="Arial" w:hAnsi="Arial" w:cs="Arial"/>
      <w:b/>
      <w:i w:val="false"/>
      <w:spacing w:val="0"/>
      <w:w w:val="100"/>
      <w:kern w:val="2"/>
      <w:position w:val="0"/>
      <w:sz w:val="22"/>
      <w:szCs w:val="22"/>
      <w:vertAlign w:val="baseline"/>
    </w:rPr>
  </w:style>
  <w:style w:type="character" w:styleId="WW8Num11z1">
    <w:name w:val="WW8Num11z1"/>
    <w:rPr>
      <w:lang w:val="fr-FR"/>
    </w:rPr>
  </w:style>
  <w:style w:type="character" w:styleId="WW8Num11z2">
    <w:name w:val="WW8Num11z2"/>
    <w:rPr/>
  </w:style>
  <w:style w:type="character" w:styleId="WW8Num11z5">
    <w:name w:val="WW8Num11z5"/>
    <w:rPr>
      <w:b/>
    </w:rPr>
  </w:style>
  <w:style w:type="character" w:styleId="WW8Num12z0">
    <w:name w:val="WW8Num12z0"/>
    <w:rPr>
      <w:rFonts w:ascii="Arial" w:hAnsi="Arial" w:cs="Arial"/>
      <w:b/>
      <w:i w:val="false"/>
      <w:sz w:val="18"/>
      <w:szCs w:val="18"/>
      <w:lang w:val="it-IT"/>
    </w:rPr>
  </w:style>
  <w:style w:type="character" w:styleId="WW8Num13z0">
    <w:name w:val="WW8Num13z0"/>
    <w:rPr>
      <w:b/>
    </w:rPr>
  </w:style>
  <w:style w:type="character" w:styleId="WW8Num14z0">
    <w:name w:val="WW8Num14z0"/>
    <w:rPr>
      <w:b/>
    </w:rPr>
  </w:style>
  <w:style w:type="character" w:styleId="WW8Num15z0">
    <w:name w:val="WW8Num15z0"/>
    <w:rPr>
      <w:b/>
    </w:rPr>
  </w:style>
  <w:style w:type="character" w:styleId="WW8Num16z0">
    <w:name w:val="WW8Num16z0"/>
    <w:rPr>
      <w:rFonts w:ascii="Arial" w:hAnsi="Arial" w:eastAsia="Times New Roman" w:cs="Arial"/>
      <w:b/>
      <w:i w:val="false"/>
      <w:sz w:val="18"/>
      <w:szCs w:val="18"/>
    </w:rPr>
  </w:style>
  <w:style w:type="character" w:styleId="WW8Num17z0">
    <w:name w:val="WW8Num17z0"/>
    <w:rPr>
      <w:b/>
    </w:rPr>
  </w:style>
  <w:style w:type="character" w:styleId="WW8Num17z1">
    <w:name w:val="WW8Num17z1"/>
    <w:rPr>
      <w:rFonts w:ascii="Courier New" w:hAnsi="Courier New" w:cs="Courier New"/>
    </w:rPr>
  </w:style>
  <w:style w:type="character" w:styleId="WW8Num17z2">
    <w:name w:val="WW8Num17z2"/>
    <w:rPr>
      <w:rFonts w:ascii="Wingdings" w:hAnsi="Wingdings" w:cs="Wingdings"/>
    </w:rPr>
  </w:style>
  <w:style w:type="character" w:styleId="WW8Num17z3">
    <w:name w:val="WW8Num17z3"/>
    <w:rPr>
      <w:rFonts w:ascii="Symbol" w:hAnsi="Symbol" w:cs="Symbol"/>
    </w:rPr>
  </w:style>
  <w:style w:type="character" w:styleId="WW8Num18z0">
    <w:name w:val="WW8Num18z0"/>
    <w:rPr>
      <w:b/>
      <w:i w:val="false"/>
      <w:sz w:val="18"/>
      <w:szCs w:val="18"/>
    </w:rPr>
  </w:style>
  <w:style w:type="character" w:styleId="WW8Num19z0">
    <w:name w:val="WW8Num19z0"/>
    <w:rPr>
      <w:rFonts w:ascii="Arial" w:hAnsi="Arial" w:eastAsia="Times New Roman" w:cs="Arial"/>
      <w:b/>
    </w:rPr>
  </w:style>
  <w:style w:type="character" w:styleId="WW8Num19z1">
    <w:name w:val="WW8Num19z1"/>
    <w:rPr>
      <w:rFonts w:ascii="Courier New" w:hAnsi="Courier New" w:cs="Courier New"/>
    </w:rPr>
  </w:style>
  <w:style w:type="character" w:styleId="WW8Num19z2">
    <w:name w:val="WW8Num19z2"/>
    <w:rPr>
      <w:rFonts w:ascii="Wingdings" w:hAnsi="Wingdings" w:cs="Wingdings"/>
    </w:rPr>
  </w:style>
  <w:style w:type="character" w:styleId="WW8Num19z3">
    <w:name w:val="WW8Num19z3"/>
    <w:rPr>
      <w:rFonts w:ascii="Symbol" w:hAnsi="Symbol" w:cs="Symbol"/>
    </w:rPr>
  </w:style>
  <w:style w:type="character" w:styleId="WW8Num20z0">
    <w:name w:val="WW8Num20z0"/>
    <w:rPr>
      <w:b/>
      <w:sz w:val="18"/>
      <w:szCs w:val="18"/>
    </w:rPr>
  </w:style>
  <w:style w:type="character" w:styleId="WW8Num21z0">
    <w:name w:val="WW8Num21z0"/>
    <w:rPr>
      <w:b/>
      <w:i w:val="false"/>
      <w:sz w:val="18"/>
      <w:szCs w:val="18"/>
      <w:lang w:val="ro-RO"/>
    </w:rPr>
  </w:style>
  <w:style w:type="character" w:styleId="WW8Num22z0">
    <w:name w:val="WW8Num22z0"/>
    <w:rPr>
      <w:rFonts w:ascii="Arial" w:hAnsi="Arial" w:cs="Arial"/>
      <w:b/>
      <w:i w:val="false"/>
      <w:sz w:val="18"/>
      <w:szCs w:val="18"/>
      <w:lang w:val="it-IT"/>
    </w:rPr>
  </w:style>
  <w:style w:type="character" w:styleId="WW8Num22z1">
    <w:name w:val="WW8Num22z1"/>
    <w:rPr>
      <w:rFonts w:ascii="Arial" w:hAnsi="Arial" w:cs="Arial"/>
      <w:b/>
      <w:i w:val="false"/>
      <w:sz w:val="20"/>
      <w:szCs w:val="20"/>
      <w:lang w:val="es-ES_tradnl"/>
    </w:rPr>
  </w:style>
  <w:style w:type="character" w:styleId="WW8Num22z2">
    <w:name w:val="WW8Num22z2"/>
    <w:rPr>
      <w:rFonts w:ascii="Arial" w:hAnsi="Arial" w:cs="Arial"/>
      <w:b/>
      <w:i w:val="false"/>
      <w:sz w:val="18"/>
      <w:szCs w:val="18"/>
      <w:lang w:val="it-IT"/>
    </w:rPr>
  </w:style>
  <w:style w:type="character" w:styleId="WW8Num22z3">
    <w:name w:val="WW8Num22z3"/>
    <w:rPr>
      <w:b/>
      <w:i w:val="false"/>
      <w:sz w:val="18"/>
      <w:szCs w:val="18"/>
      <w:lang w:val="ro-RO"/>
    </w:rPr>
  </w:style>
  <w:style w:type="character" w:styleId="WW8Num22z4">
    <w:name w:val="WW8Num22z4"/>
    <w:rPr>
      <w:b/>
    </w:rPr>
  </w:style>
  <w:style w:type="character" w:styleId="WW8Num22z5">
    <w:name w:val="WW8Num22z5"/>
    <w:rPr>
      <w:b/>
    </w:rPr>
  </w:style>
  <w:style w:type="character" w:styleId="WW8Num23z0">
    <w:name w:val="WW8Num23z0"/>
    <w:rPr>
      <w:rFonts w:ascii="Arial" w:hAnsi="Arial" w:cs="Arial"/>
      <w:b/>
      <w:i w:val="false"/>
      <w:sz w:val="18"/>
      <w:szCs w:val="18"/>
      <w:lang w:val="it-IT"/>
    </w:rPr>
  </w:style>
  <w:style w:type="character" w:styleId="WW8Num24z0">
    <w:name w:val="WW8Num24z0"/>
    <w:rPr>
      <w:b/>
      <w:i w:val="false"/>
      <w:sz w:val="18"/>
      <w:szCs w:val="18"/>
      <w:lang w:val="ro-RO"/>
    </w:rPr>
  </w:style>
  <w:style w:type="character" w:styleId="WW8Num25z0">
    <w:name w:val="WW8Num25z0"/>
    <w:rPr>
      <w:rFonts w:ascii="Arial" w:hAnsi="Arial" w:eastAsia="Times New Roman" w:cs="Arial"/>
      <w:b/>
    </w:rPr>
  </w:style>
  <w:style w:type="character" w:styleId="WW8Num25z1">
    <w:name w:val="WW8Num25z1"/>
    <w:rPr>
      <w:rFonts w:ascii="Courier New" w:hAnsi="Courier New" w:cs="Courier New"/>
    </w:rPr>
  </w:style>
  <w:style w:type="character" w:styleId="WW8Num25z2">
    <w:name w:val="WW8Num25z2"/>
    <w:rPr>
      <w:rFonts w:ascii="Wingdings" w:hAnsi="Wingdings" w:cs="Wingdings"/>
    </w:rPr>
  </w:style>
  <w:style w:type="character" w:styleId="WW8Num25z3">
    <w:name w:val="WW8Num25z3"/>
    <w:rPr>
      <w:rFonts w:ascii="Symbol" w:hAnsi="Symbol" w:cs="Symbol"/>
    </w:rPr>
  </w:style>
  <w:style w:type="character" w:styleId="WW8Num26z0">
    <w:name w:val="WW8Num26z0"/>
    <w:rPr>
      <w:rFonts w:ascii="Times New Roman" w:hAnsi="Times New Roman" w:cs="Times New Roman"/>
      <w:b/>
      <w:sz w:val="24"/>
    </w:rPr>
  </w:style>
  <w:style w:type="character" w:styleId="WW8Num27z0">
    <w:name w:val="WW8Num27z0"/>
    <w:rPr>
      <w:b/>
    </w:rPr>
  </w:style>
  <w:style w:type="character" w:styleId="WW8Num28z0">
    <w:name w:val="WW8Num28z0"/>
    <w:rPr>
      <w:b/>
      <w:sz w:val="18"/>
      <w:szCs w:val="18"/>
    </w:rPr>
  </w:style>
  <w:style w:type="character" w:styleId="WW8Num29z0">
    <w:name w:val="WW8Num29z0"/>
    <w:rPr>
      <w:rFonts w:ascii="Arial" w:hAnsi="Arial" w:cs="Arial"/>
      <w:b/>
      <w:i w:val="false"/>
      <w:sz w:val="18"/>
      <w:szCs w:val="18"/>
      <w:lang w:val="it-IT"/>
    </w:rPr>
  </w:style>
  <w:style w:type="character" w:styleId="WW8Num30z0">
    <w:name w:val="WW8Num30z0"/>
    <w:rPr>
      <w:b/>
    </w:rPr>
  </w:style>
  <w:style w:type="character" w:styleId="WW8Num31z0">
    <w:name w:val="WW8Num31z0"/>
    <w:rPr>
      <w:rFonts w:ascii="Arial" w:hAnsi="Arial" w:cs="Arial"/>
      <w:b/>
      <w:i w:val="false"/>
      <w:sz w:val="18"/>
      <w:szCs w:val="18"/>
      <w:lang w:val="it-IT"/>
    </w:rPr>
  </w:style>
  <w:style w:type="character" w:styleId="WW8Num32z0">
    <w:name w:val="WW8Num32z0"/>
    <w:rPr>
      <w:b/>
      <w:i w:val="false"/>
      <w:sz w:val="18"/>
      <w:szCs w:val="18"/>
      <w:lang w:val="ro-RO"/>
    </w:rPr>
  </w:style>
  <w:style w:type="character" w:styleId="WW8Num33z0">
    <w:name w:val="WW8Num33z0"/>
    <w:rPr>
      <w:rFonts w:ascii="Arial" w:hAnsi="Arial" w:eastAsia="Times New Roman" w:cs="Arial"/>
      <w:b/>
    </w:rPr>
  </w:style>
  <w:style w:type="character" w:styleId="WW8Num33z1">
    <w:name w:val="WW8Num33z1"/>
    <w:rPr>
      <w:rFonts w:ascii="Symbol" w:hAnsi="Symbol" w:cs="Symbol"/>
      <w:b/>
      <w:sz w:val="18"/>
      <w:szCs w:val="18"/>
    </w:rPr>
  </w:style>
  <w:style w:type="character" w:styleId="WW8Num33z2">
    <w:name w:val="WW8Num33z2"/>
    <w:rPr>
      <w:rFonts w:ascii="Wingdings" w:hAnsi="Wingdings" w:cs="Wingdings"/>
    </w:rPr>
  </w:style>
  <w:style w:type="character" w:styleId="WW8Num33z3">
    <w:name w:val="WW8Num33z3"/>
    <w:rPr>
      <w:rFonts w:ascii="Symbol" w:hAnsi="Symbol" w:cs="Symbol"/>
    </w:rPr>
  </w:style>
  <w:style w:type="character" w:styleId="WW8Num33z4">
    <w:name w:val="WW8Num33z4"/>
    <w:rPr>
      <w:rFonts w:ascii="Courier New" w:hAnsi="Courier New" w:cs="Courier New"/>
    </w:rPr>
  </w:style>
  <w:style w:type="character" w:styleId="WW8Num33z5">
    <w:name w:val="WW8Num33z5"/>
    <w:rPr>
      <w:rFonts w:ascii="Wingdings" w:hAnsi="Wingdings" w:cs="Wingdings"/>
    </w:rPr>
  </w:style>
  <w:style w:type="character" w:styleId="WW8Num34z0">
    <w:name w:val="WW8Num34z0"/>
    <w:rPr>
      <w:rFonts w:ascii="Arial" w:hAnsi="Arial" w:cs="Arial"/>
      <w:b/>
      <w:i w:val="false"/>
      <w:sz w:val="18"/>
      <w:szCs w:val="18"/>
      <w:lang w:val="it-IT"/>
    </w:rPr>
  </w:style>
  <w:style w:type="character" w:styleId="WW8Num35z0">
    <w:name w:val="WW8Num35z0"/>
    <w:rPr>
      <w:rFonts w:ascii="Arial" w:hAnsi="Arial" w:eastAsia="Times New Roman" w:cs="Arial"/>
      <w:b/>
    </w:rPr>
  </w:style>
  <w:style w:type="character" w:styleId="WW8Num35z1">
    <w:name w:val="WW8Num35z1"/>
    <w:rPr>
      <w:rFonts w:ascii="Courier New" w:hAnsi="Courier New" w:cs="Courier New"/>
    </w:rPr>
  </w:style>
  <w:style w:type="character" w:styleId="WW8Num35z2">
    <w:name w:val="WW8Num35z2"/>
    <w:rPr>
      <w:rFonts w:ascii="Wingdings" w:hAnsi="Wingdings" w:cs="Wingdings"/>
    </w:rPr>
  </w:style>
  <w:style w:type="character" w:styleId="WW8Num35z3">
    <w:name w:val="WW8Num35z3"/>
    <w:rPr>
      <w:rFonts w:ascii="Symbol" w:hAnsi="Symbol" w:cs="Symbol"/>
    </w:rPr>
  </w:style>
  <w:style w:type="character" w:styleId="WW8Num36z0">
    <w:name w:val="WW8Num36z0"/>
    <w:rPr>
      <w:rFonts w:ascii="Arial" w:hAnsi="Arial" w:cs="Arial"/>
      <w:b/>
      <w:i w:val="false"/>
      <w:sz w:val="18"/>
      <w:szCs w:val="18"/>
      <w:lang w:val="it-IT"/>
    </w:rPr>
  </w:style>
  <w:style w:type="character" w:styleId="WW8Num37z0">
    <w:name w:val="WW8Num37z0"/>
    <w:rPr>
      <w:b/>
    </w:rPr>
  </w:style>
  <w:style w:type="character" w:styleId="WW8Num38z0">
    <w:name w:val="WW8Num38z0"/>
    <w:rPr>
      <w:rFonts w:ascii="Times New Roman" w:hAnsi="Times New Roman" w:cs="Times New Roman"/>
      <w:b/>
      <w:i w:val="false"/>
      <w:spacing w:val="0"/>
      <w:w w:val="100"/>
      <w:kern w:val="2"/>
      <w:position w:val="0"/>
      <w:sz w:val="24"/>
      <w:szCs w:val="24"/>
      <w:vertAlign w:val="baseline"/>
    </w:rPr>
  </w:style>
  <w:style w:type="character" w:styleId="WW8Num38z1">
    <w:name w:val="WW8Num38z1"/>
    <w:rPr/>
  </w:style>
  <w:style w:type="character" w:styleId="WW8Num39z0">
    <w:name w:val="WW8Num39z0"/>
    <w:rPr>
      <w:b/>
      <w:i w:val="false"/>
      <w:sz w:val="18"/>
      <w:szCs w:val="18"/>
      <w:lang w:val="ro-RO"/>
    </w:rPr>
  </w:style>
  <w:style w:type="character" w:styleId="WW8Num40z0">
    <w:name w:val="WW8Num40z0"/>
    <w:rPr>
      <w:rFonts w:ascii="Times New Roman" w:hAnsi="Times New Roman" w:cs="Times New Roman"/>
      <w:b/>
      <w:sz w:val="24"/>
    </w:rPr>
  </w:style>
  <w:style w:type="character" w:styleId="WW8Num41z0">
    <w:name w:val="WW8Num41z0"/>
    <w:rPr>
      <w:b/>
    </w:rPr>
  </w:style>
  <w:style w:type="character" w:styleId="WW8Num42z0">
    <w:name w:val="WW8Num42z0"/>
    <w:rPr>
      <w:b/>
      <w:sz w:val="18"/>
      <w:szCs w:val="18"/>
    </w:rPr>
  </w:style>
  <w:style w:type="character" w:styleId="WW8Num43z0">
    <w:name w:val="WW8Num43z0"/>
    <w:rPr>
      <w:rFonts w:ascii="Wingdings" w:hAnsi="Wingdings" w:cs="Wingdings"/>
    </w:rPr>
  </w:style>
  <w:style w:type="character" w:styleId="WW8Num43z1">
    <w:name w:val="WW8Num43z1"/>
    <w:rPr>
      <w:rFonts w:ascii="Symbol" w:hAnsi="Symbol" w:cs="Symbol"/>
    </w:rPr>
  </w:style>
  <w:style w:type="character" w:styleId="WW8Num43z2">
    <w:name w:val="WW8Num43z2"/>
    <w:rPr>
      <w:rFonts w:ascii="Times New Roman" w:hAnsi="Times New Roman" w:cs="Times New Roman"/>
      <w:b/>
      <w:i w:val="false"/>
      <w:sz w:val="22"/>
      <w:szCs w:val="22"/>
    </w:rPr>
  </w:style>
  <w:style w:type="character" w:styleId="WW8Num43z3">
    <w:name w:val="WW8Num43z3"/>
    <w:rPr>
      <w:rFonts w:ascii="Symbol" w:hAnsi="Symbol" w:cs="Symbol"/>
    </w:rPr>
  </w:style>
  <w:style w:type="character" w:styleId="WW8Num43z4">
    <w:name w:val="WW8Num43z4"/>
    <w:rPr>
      <w:rFonts w:ascii="Courier New" w:hAnsi="Courier New" w:cs="Courier New"/>
    </w:rPr>
  </w:style>
  <w:style w:type="character" w:styleId="WW8Num43z5">
    <w:name w:val="WW8Num43z5"/>
    <w:rPr>
      <w:rFonts w:ascii="Wingdings" w:hAnsi="Wingdings" w:cs="Wingdings"/>
    </w:rPr>
  </w:style>
  <w:style w:type="character" w:styleId="WW8Num44z0">
    <w:name w:val="WW8Num44z0"/>
    <w:rPr>
      <w:rFonts w:ascii="Arial" w:hAnsi="Arial" w:cs="Arial"/>
      <w:b/>
      <w:i w:val="false"/>
      <w:sz w:val="18"/>
      <w:szCs w:val="18"/>
      <w:lang w:val="it-IT"/>
    </w:rPr>
  </w:style>
  <w:style w:type="character" w:styleId="WW8Num45z0">
    <w:name w:val="WW8Num45z0"/>
    <w:rPr>
      <w:rFonts w:ascii="Arial" w:hAnsi="Arial" w:eastAsia="Times New Roman" w:cs="Arial"/>
      <w:b/>
    </w:rPr>
  </w:style>
  <w:style w:type="character" w:styleId="WW8Num45z1">
    <w:name w:val="WW8Num45z1"/>
    <w:rPr>
      <w:rFonts w:ascii="Courier New" w:hAnsi="Courier New" w:cs="Courier New"/>
    </w:rPr>
  </w:style>
  <w:style w:type="character" w:styleId="WW8Num45z2">
    <w:name w:val="WW8Num45z2"/>
    <w:rPr>
      <w:rFonts w:ascii="Wingdings" w:hAnsi="Wingdings" w:cs="Wingdings"/>
    </w:rPr>
  </w:style>
  <w:style w:type="character" w:styleId="WW8Num45z3">
    <w:name w:val="WW8Num45z3"/>
    <w:rPr>
      <w:rFonts w:ascii="Symbol" w:hAnsi="Symbol" w:cs="Symbol"/>
    </w:rPr>
  </w:style>
  <w:style w:type="character" w:styleId="WW8Num46z0">
    <w:name w:val="WW8Num46z0"/>
    <w:rPr>
      <w:b/>
      <w:lang w:val="ro-RO"/>
    </w:rPr>
  </w:style>
  <w:style w:type="character" w:styleId="WW8Num46z1">
    <w:name w:val="WW8Num46z1"/>
    <w:rPr>
      <w:b/>
      <w:i w:val="false"/>
      <w:sz w:val="22"/>
      <w:szCs w:val="22"/>
    </w:rPr>
  </w:style>
  <w:style w:type="character" w:styleId="WW8Num46z2">
    <w:name w:val="WW8Num46z2"/>
    <w:rPr>
      <w:b/>
    </w:rPr>
  </w:style>
  <w:style w:type="character" w:styleId="WW8Num46z3">
    <w:name w:val="WW8Num46z3"/>
    <w:rPr>
      <w:rFonts w:ascii="Times New Roman" w:hAnsi="Times New Roman" w:eastAsia="Times New Roman" w:cs="Times New Roman"/>
    </w:rPr>
  </w:style>
  <w:style w:type="character" w:styleId="WW8Num46z4">
    <w:name w:val="WW8Num46z4"/>
    <w:rPr/>
  </w:style>
  <w:style w:type="character" w:styleId="WW8Num46z5">
    <w:name w:val="WW8Num46z5"/>
    <w:rPr>
      <w:rFonts w:ascii="Wingdings" w:hAnsi="Wingdings" w:cs="Wingdings"/>
    </w:rPr>
  </w:style>
  <w:style w:type="character" w:styleId="WW8Num46z6">
    <w:name w:val="WW8Num46z6"/>
    <w:rPr>
      <w:rFonts w:ascii="Symbol" w:hAnsi="Symbol" w:cs="Symbol"/>
    </w:rPr>
  </w:style>
  <w:style w:type="character" w:styleId="WW8Num46z7">
    <w:name w:val="WW8Num46z7"/>
    <w:rPr>
      <w:rFonts w:ascii="Courier New" w:hAnsi="Courier New" w:cs="Courier New"/>
    </w:rPr>
  </w:style>
  <w:style w:type="character" w:styleId="WW8Num47z0">
    <w:name w:val="WW8Num47z0"/>
    <w:rPr>
      <w:rFonts w:ascii="Times New Roman" w:hAnsi="Times New Roman" w:cs="Times New Roman"/>
      <w:b/>
      <w:sz w:val="24"/>
      <w:szCs w:val="24"/>
    </w:rPr>
  </w:style>
  <w:style w:type="character" w:styleId="WW8Num47z1">
    <w:name w:val="WW8Num47z1"/>
    <w:rPr/>
  </w:style>
  <w:style w:type="character" w:styleId="WW8Num48z0">
    <w:name w:val="WW8Num48z0"/>
    <w:rPr>
      <w:rFonts w:ascii="Arial" w:hAnsi="Arial" w:cs="Arial"/>
      <w:b/>
      <w:sz w:val="18"/>
      <w:szCs w:val="18"/>
    </w:rPr>
  </w:style>
  <w:style w:type="character" w:styleId="WW8Num49z0">
    <w:name w:val="WW8Num49z0"/>
    <w:rPr>
      <w:b/>
    </w:rPr>
  </w:style>
  <w:style w:type="character" w:styleId="WW8Num50z0">
    <w:name w:val="WW8Num50z0"/>
    <w:rPr/>
  </w:style>
  <w:style w:type="character" w:styleId="WW8Num51z0">
    <w:name w:val="WW8Num51z0"/>
    <w:rPr>
      <w:b/>
    </w:rPr>
  </w:style>
  <w:style w:type="character" w:styleId="WW8Num52z0">
    <w:name w:val="WW8Num52z0"/>
    <w:rPr>
      <w:rFonts w:ascii="Times New Roman" w:hAnsi="Times New Roman" w:cs="Times New Roman"/>
      <w:sz w:val="24"/>
    </w:rPr>
  </w:style>
  <w:style w:type="character" w:styleId="WW8Num53z0">
    <w:name w:val="WW8Num53z0"/>
    <w:rPr>
      <w:rFonts w:ascii="Arial" w:hAnsi="Arial" w:eastAsia="Times New Roman" w:cs="Arial"/>
      <w:b/>
    </w:rPr>
  </w:style>
  <w:style w:type="character" w:styleId="WW8Num53z1">
    <w:name w:val="WW8Num53z1"/>
    <w:rPr>
      <w:rFonts w:ascii="Courier New" w:hAnsi="Courier New" w:cs="Courier New"/>
    </w:rPr>
  </w:style>
  <w:style w:type="character" w:styleId="WW8Num53z2">
    <w:name w:val="WW8Num53z2"/>
    <w:rPr>
      <w:rFonts w:ascii="Wingdings" w:hAnsi="Wingdings" w:cs="Wingdings"/>
    </w:rPr>
  </w:style>
  <w:style w:type="character" w:styleId="WW8Num53z3">
    <w:name w:val="WW8Num53z3"/>
    <w:rPr>
      <w:rFonts w:ascii="Symbol" w:hAnsi="Symbol" w:cs="Symbol"/>
    </w:rPr>
  </w:style>
  <w:style w:type="character" w:styleId="WW8Num54z0">
    <w:name w:val="WW8Num54z0"/>
    <w:rPr>
      <w:rFonts w:ascii="Arial" w:hAnsi="Arial" w:cs="Arial"/>
      <w:b/>
      <w:i w:val="false"/>
      <w:sz w:val="18"/>
      <w:szCs w:val="18"/>
      <w:lang w:val="it-IT"/>
    </w:rPr>
  </w:style>
  <w:style w:type="character" w:styleId="WW8Num55z0">
    <w:name w:val="WW8Num55z0"/>
    <w:rPr>
      <w:rFonts w:ascii="Arial" w:hAnsi="Arial" w:eastAsia="Times New Roman" w:cs="Arial"/>
      <w:b/>
    </w:rPr>
  </w:style>
  <w:style w:type="character" w:styleId="WW8Num55z1">
    <w:name w:val="WW8Num55z1"/>
    <w:rPr>
      <w:rFonts w:ascii="Courier New" w:hAnsi="Courier New" w:cs="Courier New"/>
    </w:rPr>
  </w:style>
  <w:style w:type="character" w:styleId="WW8Num55z2">
    <w:name w:val="WW8Num55z2"/>
    <w:rPr>
      <w:rFonts w:ascii="Wingdings" w:hAnsi="Wingdings" w:cs="Wingdings"/>
    </w:rPr>
  </w:style>
  <w:style w:type="character" w:styleId="WW8Num55z3">
    <w:name w:val="WW8Num55z3"/>
    <w:rPr>
      <w:rFonts w:ascii="Symbol" w:hAnsi="Symbol" w:cs="Symbol"/>
    </w:rPr>
  </w:style>
  <w:style w:type="character" w:styleId="WW8Num56z0">
    <w:name w:val="WW8Num56z0"/>
    <w:rPr>
      <w:rFonts w:ascii="Arial" w:hAnsi="Arial" w:eastAsia="Times New Roman" w:cs="Arial"/>
      <w:b/>
    </w:rPr>
  </w:style>
  <w:style w:type="character" w:styleId="WW8Num56z1">
    <w:name w:val="WW8Num56z1"/>
    <w:rPr>
      <w:rFonts w:ascii="Courier New" w:hAnsi="Courier New" w:cs="Courier New"/>
    </w:rPr>
  </w:style>
  <w:style w:type="character" w:styleId="WW8Num56z2">
    <w:name w:val="WW8Num56z2"/>
    <w:rPr>
      <w:rFonts w:ascii="Wingdings" w:hAnsi="Wingdings" w:cs="Wingdings"/>
    </w:rPr>
  </w:style>
  <w:style w:type="character" w:styleId="WW8Num56z3">
    <w:name w:val="WW8Num56z3"/>
    <w:rPr>
      <w:rFonts w:ascii="Symbol" w:hAnsi="Symbol" w:cs="Symbol"/>
    </w:rPr>
  </w:style>
  <w:style w:type="character" w:styleId="WW8Num57z0">
    <w:name w:val="WW8Num57z0"/>
    <w:rPr>
      <w:b/>
    </w:rPr>
  </w:style>
  <w:style w:type="character" w:styleId="WW8Num58z0">
    <w:name w:val="WW8Num58z0"/>
    <w:rPr>
      <w:sz w:val="16"/>
      <w:szCs w:val="16"/>
    </w:rPr>
  </w:style>
  <w:style w:type="character" w:styleId="DefaultParagraphFont">
    <w:name w:val="Default Paragraph Font"/>
    <w:rPr/>
  </w:style>
  <w:style w:type="character" w:styleId="PageNumber">
    <w:name w:val="page number"/>
    <w:basedOn w:val="DefaultParagraphFont"/>
    <w:rPr/>
  </w:style>
  <w:style w:type="character" w:styleId="tpa1">
    <w:name w:val="tpa1"/>
    <w:basedOn w:val="DefaultParagraphFont"/>
    <w:rPr/>
  </w:style>
  <w:style w:type="character" w:styleId="tal1">
    <w:name w:val="tal1"/>
    <w:basedOn w:val="DefaultParagraphFont"/>
    <w:rPr/>
  </w:style>
  <w:style w:type="character" w:styleId="tpt1">
    <w:name w:val="tpt1"/>
    <w:basedOn w:val="DefaultParagraphFont"/>
    <w:rPr/>
  </w:style>
  <w:style w:type="character" w:styleId="tli1">
    <w:name w:val="tli1"/>
    <w:basedOn w:val="DefaultParagraphFont"/>
    <w:rPr/>
  </w:style>
  <w:style w:type="character" w:styleId="text-albastru-recomanda-unui-prieten">
    <w:name w:val="text-albastru-recomanda-unui-prieten"/>
    <w:basedOn w:val="DefaultParagraphFont"/>
    <w:rPr/>
  </w:style>
  <w:style w:type="character" w:styleId="li1">
    <w:name w:val="li1"/>
    <w:rPr>
      <w:b/>
      <w:bCs/>
    </w:rPr>
  </w:style>
  <w:style w:type="character" w:styleId="al1">
    <w:name w:val="al1"/>
    <w:rPr>
      <w:b/>
      <w:bCs/>
    </w:rPr>
  </w:style>
  <w:style w:type="character" w:styleId="sp1">
    <w:name w:val="sp1"/>
    <w:rPr>
      <w:b/>
      <w:bCs/>
    </w:rPr>
  </w:style>
  <w:style w:type="character" w:styleId="tsp1">
    <w:name w:val="tsp1"/>
    <w:basedOn w:val="DefaultParagraphFont"/>
    <w:rPr/>
  </w:style>
  <w:style w:type="character" w:styleId="pt1">
    <w:name w:val="pt1"/>
    <w:rPr>
      <w:b/>
      <w:bCs/>
    </w:rPr>
  </w:style>
  <w:style w:type="character" w:styleId="ar1">
    <w:name w:val="ar1"/>
    <w:rPr>
      <w:b/>
      <w:bCs/>
      <w:sz w:val="22"/>
      <w:szCs w:val="22"/>
    </w:rPr>
  </w:style>
  <w:style w:type="character" w:styleId="NormalWebChar">
    <w:name w:val="Normal (Web) Char"/>
    <w:rPr>
      <w:sz w:val="24"/>
      <w:szCs w:val="24"/>
      <w:lang w:bidi="ar-SA"/>
    </w:rPr>
  </w:style>
  <w:style w:type="character" w:styleId="Hyperlink">
    <w:name w:val="Hyperlink"/>
    <w:rPr>
      <w:u w:val="single"/>
    </w:rPr>
  </w:style>
  <w:style w:type="character" w:styleId="FollowedHyperlink">
    <w:name w:val="FollowedHyperlink"/>
    <w:rPr>
      <w:u w:val="single"/>
    </w:rPr>
  </w:style>
  <w:style w:type="character" w:styleId="emailstyle17">
    <w:name w:val="emailstyle17"/>
    <w:rPr>
      <w:rFonts w:ascii="Arial" w:hAnsi="Arial" w:cs="Arial"/>
    </w:rPr>
  </w:style>
  <w:style w:type="character" w:styleId="do1">
    <w:name w:val="do1"/>
    <w:rPr>
      <w:b/>
      <w:bCs/>
    </w:rPr>
  </w:style>
  <w:style w:type="character" w:styleId="tdo1">
    <w:name w:val="tdo1"/>
    <w:rPr>
      <w:b/>
      <w:bCs/>
    </w:rPr>
  </w:style>
  <w:style w:type="character" w:styleId="ca1">
    <w:name w:val="ca1"/>
    <w:rPr>
      <w:b/>
      <w:bCs/>
    </w:rPr>
  </w:style>
  <w:style w:type="character" w:styleId="tca1">
    <w:name w:val="tca1"/>
    <w:rPr>
      <w:b/>
      <w:bCs/>
    </w:rPr>
  </w:style>
  <w:style w:type="character" w:styleId="tar1">
    <w:name w:val="tar1"/>
    <w:rPr>
      <w:b/>
      <w:bCs/>
    </w:rPr>
  </w:style>
  <w:style w:type="character" w:styleId="ax1">
    <w:name w:val="ax1"/>
    <w:rPr>
      <w:b/>
      <w:bCs/>
    </w:rPr>
  </w:style>
  <w:style w:type="character" w:styleId="tax1">
    <w:name w:val="tax1"/>
    <w:rPr>
      <w:b/>
      <w:bCs/>
    </w:rPr>
  </w:style>
  <w:style w:type="character" w:styleId="Strong">
    <w:name w:val="Strong"/>
    <w:rPr>
      <w:b/>
      <w:bCs/>
    </w:rPr>
  </w:style>
  <w:style w:type="character" w:styleId="Emphasis">
    <w:name w:val="Emphasis"/>
    <w:rPr>
      <w:i/>
      <w:iCs/>
    </w:rPr>
  </w:style>
  <w:style w:type="character" w:styleId="si1">
    <w:name w:val="si1"/>
    <w:rPr>
      <w:b/>
      <w:bCs/>
      <w:sz w:val="24"/>
      <w:szCs w:val="24"/>
    </w:rPr>
  </w:style>
  <w:style w:type="character" w:styleId="tsi1">
    <w:name w:val="tsi1"/>
    <w:rPr>
      <w:b/>
      <w:bCs/>
      <w:sz w:val="24"/>
      <w:szCs w:val="24"/>
    </w:rPr>
  </w:style>
  <w:style w:type="character" w:styleId="CharChar">
    <w:name w:val=" Char Char"/>
    <w:rPr>
      <w:rFonts w:ascii="Arial Unicode MS" w:hAnsi="Arial Unicode MS" w:eastAsia="Arial Unicode MS" w:cs="Arial Unicode MS"/>
      <w:sz w:val="24"/>
      <w:szCs w:val="24"/>
      <w:lang w:val="en-GB" w:bidi="ar-SA"/>
    </w:rPr>
  </w:style>
  <w:style w:type="character" w:styleId="FontStyle13">
    <w:name w:val="Font Style13"/>
    <w:rPr>
      <w:rFonts w:ascii="Arial" w:hAnsi="Arial" w:cs="Arial"/>
      <w:b/>
      <w:bCs/>
      <w:i/>
      <w:iCs/>
      <w:sz w:val="16"/>
      <w:szCs w:val="16"/>
    </w:rPr>
  </w:style>
  <w:style w:type="character" w:styleId="FontStyle50">
    <w:name w:val="Font Style50"/>
    <w:rPr>
      <w:rFonts w:ascii="Arial" w:hAnsi="Arial" w:cs="Arial"/>
      <w:sz w:val="16"/>
      <w:szCs w:val="16"/>
    </w:rPr>
  </w:style>
  <w:style w:type="character" w:styleId="FontStyle53">
    <w:name w:val="Font Style53"/>
    <w:rPr>
      <w:rFonts w:ascii="Arial" w:hAnsi="Arial" w:cs="Arial"/>
      <w:b/>
      <w:bCs/>
      <w:sz w:val="16"/>
      <w:szCs w:val="16"/>
    </w:rPr>
  </w:style>
  <w:style w:type="character" w:styleId="FontStyle54">
    <w:name w:val="Font Style54"/>
    <w:rPr>
      <w:rFonts w:ascii="Arial" w:hAnsi="Arial" w:cs="Arial"/>
      <w:b/>
      <w:bCs/>
      <w:sz w:val="16"/>
      <w:szCs w:val="16"/>
    </w:rPr>
  </w:style>
  <w:style w:type="character" w:styleId="FontStyle20">
    <w:name w:val="Font Style20"/>
    <w:rPr>
      <w:rFonts w:ascii="Arial" w:hAnsi="Arial" w:cs="Arial"/>
      <w:b/>
      <w:bCs/>
      <w:sz w:val="16"/>
      <w:szCs w:val="16"/>
    </w:rPr>
  </w:style>
  <w:style w:type="character" w:styleId="FontStyle22">
    <w:name w:val="Font Style22"/>
    <w:rPr>
      <w:rFonts w:ascii="Arial" w:hAnsi="Arial" w:cs="Arial"/>
      <w:sz w:val="16"/>
      <w:szCs w:val="16"/>
    </w:rPr>
  </w:style>
  <w:style w:type="character" w:styleId="FontStyle24">
    <w:name w:val="Font Style24"/>
    <w:rPr>
      <w:rFonts w:ascii="Arial" w:hAnsi="Arial" w:cs="Arial"/>
      <w:b/>
      <w:bCs/>
      <w:sz w:val="16"/>
      <w:szCs w:val="16"/>
    </w:rPr>
  </w:style>
  <w:style w:type="character" w:styleId="FontStyle26">
    <w:name w:val="Font Style26"/>
    <w:rPr>
      <w:rFonts w:ascii="Arial" w:hAnsi="Arial" w:cs="Arial"/>
      <w:b/>
      <w:bCs/>
      <w:spacing w:val="-20"/>
      <w:sz w:val="22"/>
      <w:szCs w:val="22"/>
    </w:rPr>
  </w:style>
  <w:style w:type="character" w:styleId="FontStyle15">
    <w:name w:val="Font Style15"/>
    <w:rPr>
      <w:rFonts w:ascii="Arial" w:hAnsi="Arial" w:cs="Arial"/>
      <w:sz w:val="16"/>
      <w:szCs w:val="16"/>
    </w:rPr>
  </w:style>
  <w:style w:type="character" w:styleId="FontStyle16">
    <w:name w:val="Font Style16"/>
    <w:rPr>
      <w:rFonts w:ascii="Arial" w:hAnsi="Arial" w:cs="Arial"/>
      <w:b/>
      <w:bCs/>
      <w:sz w:val="16"/>
      <w:szCs w:val="16"/>
    </w:rPr>
  </w:style>
  <w:style w:type="character" w:styleId="FontStyle17">
    <w:name w:val="Font Style17"/>
    <w:rPr>
      <w:rFonts w:ascii="Arial" w:hAnsi="Arial" w:cs="Arial"/>
      <w:b/>
      <w:bCs/>
      <w:sz w:val="16"/>
      <w:szCs w:val="16"/>
    </w:rPr>
  </w:style>
  <w:style w:type="character" w:styleId="FontStyle14">
    <w:name w:val="Font Style14"/>
    <w:rPr>
      <w:rFonts w:ascii="Times New Roman" w:hAnsi="Times New Roman" w:cs="Times New Roman"/>
      <w:sz w:val="20"/>
      <w:szCs w:val="20"/>
    </w:rPr>
  </w:style>
  <w:style w:type="character" w:styleId="FontStyle12">
    <w:name w:val="Font Style12"/>
    <w:rPr>
      <w:rFonts w:ascii="Century Gothic" w:hAnsi="Century Gothic" w:cs="Century Gothic"/>
      <w:sz w:val="24"/>
      <w:szCs w:val="24"/>
    </w:rPr>
  </w:style>
  <w:style w:type="character" w:styleId="Heading1Char">
    <w:name w:val="Heading 1 Char"/>
    <w:rPr>
      <w:rFonts w:ascii="Arial" w:hAnsi="Arial" w:cs="Arial"/>
      <w:b/>
      <w:bCs/>
      <w:kern w:val="2"/>
      <w:sz w:val="32"/>
      <w:szCs w:val="32"/>
    </w:rPr>
  </w:style>
  <w:style w:type="character" w:styleId="spar">
    <w:name w:val="s_par"/>
    <w:basedOn w:val="DefaultParagraphFont"/>
    <w:rPr/>
  </w:style>
  <w:style w:type="character" w:styleId="slitbdy">
    <w:name w:val="s_lit_bdy"/>
    <w:basedOn w:val="DefaultParagraphFont"/>
    <w:rPr/>
  </w:style>
  <w:style w:type="character" w:styleId="BalloonTextChar">
    <w:name w:val="Balloon Text Char"/>
    <w:rPr>
      <w:rFonts w:ascii="Segoe UI" w:hAnsi="Segoe UI" w:cs="Segoe UI"/>
      <w:sz w:val="18"/>
      <w:szCs w:val="18"/>
    </w:rPr>
  </w:style>
  <w:style w:type="character" w:styleId="UnresolvedMention">
    <w:name w:val="Unresolved Mention"/>
    <w:rPr>
      <w:shd w:fill="E1DFDD" w:val="clear"/>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jc w:val="center"/>
    </w:pPr>
    <w:rPr>
      <w:rFonts w:ascii="Eurostyle;Arial Narrow" w:hAnsi="Eurostyle;Arial Narrow" w:cs="Eurostyle;Arial Narrow"/>
      <w:b/>
      <w:sz w:val="24"/>
    </w:rPr>
  </w:style>
  <w:style w:type="paragraph" w:styleId="BodyText">
    <w:name w:val="Body Text"/>
    <w:basedOn w:val="Normal"/>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Footer">
    <w:name w:val="footer"/>
    <w:basedOn w:val="Normal"/>
    <w:pPr>
      <w:tabs>
        <w:tab w:val="clear" w:pos="720"/>
        <w:tab w:val="center" w:pos="4320" w:leader="none"/>
        <w:tab w:val="right" w:pos="8640" w:leader="none"/>
      </w:tabs>
    </w:pPr>
    <w:rPr/>
  </w:style>
  <w:style w:type="paragraph" w:styleId="Header">
    <w:name w:val="header"/>
    <w:basedOn w:val="Normal"/>
    <w:pPr>
      <w:tabs>
        <w:tab w:val="clear" w:pos="720"/>
        <w:tab w:val="center" w:pos="4320" w:leader="none"/>
        <w:tab w:val="right" w:pos="8640" w:leader="none"/>
      </w:tabs>
    </w:pPr>
    <w:rPr/>
  </w:style>
  <w:style w:type="paragraph" w:styleId="BodyText3">
    <w:name w:val="Body Text 3"/>
    <w:basedOn w:val="Normal"/>
    <w:pPr>
      <w:spacing w:lineRule="atLeast" w:line="300" w:before="220" w:after="120"/>
      <w:jc w:val="both"/>
    </w:pPr>
    <w:rPr>
      <w:rFonts w:ascii="Arial" w:hAnsi="Arial" w:cs="Arial"/>
      <w:sz w:val="16"/>
      <w:szCs w:val="16"/>
      <w:lang w:val="de-DE"/>
    </w:rPr>
  </w:style>
  <w:style w:type="paragraph" w:styleId="BlockText">
    <w:name w:val="Block Text"/>
    <w:basedOn w:val="Normal"/>
    <w:pPr>
      <w:ind w:hanging="0" w:left="1260" w:right="-900"/>
    </w:pPr>
    <w:rPr>
      <w:b/>
      <w:bCs/>
      <w:lang w:val="ro-RO"/>
    </w:rPr>
  </w:style>
  <w:style w:type="paragraph" w:styleId="NormalWeb">
    <w:name w:val="Normal (Web)"/>
    <w:basedOn w:val="Normal"/>
    <w:pPr>
      <w:spacing w:before="280" w:after="280"/>
    </w:pPr>
    <w:rPr>
      <w:sz w:val="24"/>
      <w:szCs w:val="24"/>
    </w:rPr>
  </w:style>
  <w:style w:type="paragraph" w:styleId="BodyTextIndent">
    <w:name w:val="Body Text Indent"/>
    <w:basedOn w:val="Normal"/>
    <w:pPr>
      <w:tabs>
        <w:tab w:val="clear" w:pos="720"/>
        <w:tab w:val="left" w:pos="709" w:leader="none"/>
      </w:tabs>
      <w:spacing w:before="120" w:after="0"/>
      <w:ind w:hanging="709" w:left="709" w:right="0"/>
    </w:pPr>
    <w:rPr>
      <w:sz w:val="28"/>
    </w:rPr>
  </w:style>
  <w:style w:type="paragraph" w:styleId="BodyTextIndent2">
    <w:name w:val="Body Text Indent 2"/>
    <w:basedOn w:val="Normal"/>
    <w:pPr>
      <w:tabs>
        <w:tab w:val="clear" w:pos="720"/>
        <w:tab w:val="left" w:pos="1560" w:leader="none"/>
      </w:tabs>
      <w:ind w:hanging="709" w:left="993" w:right="0"/>
    </w:pPr>
    <w:rPr>
      <w:sz w:val="28"/>
    </w:rPr>
  </w:style>
  <w:style w:type="paragraph" w:styleId="BodyTextIndent3">
    <w:name w:val="Body Text Indent 3"/>
    <w:basedOn w:val="Normal"/>
    <w:pPr>
      <w:tabs>
        <w:tab w:val="clear" w:pos="720"/>
        <w:tab w:val="left" w:pos="1134" w:leader="none"/>
      </w:tabs>
      <w:ind w:hanging="851" w:left="851" w:right="0"/>
    </w:pPr>
    <w:rPr>
      <w:sz w:val="28"/>
    </w:rPr>
  </w:style>
  <w:style w:type="paragraph" w:styleId="Subtitle">
    <w:name w:val="Subtitle"/>
    <w:basedOn w:val="Normal"/>
    <w:next w:val="BodyText"/>
    <w:pPr>
      <w:jc w:val="center"/>
      <w:outlineLvl w:val="0"/>
    </w:pPr>
    <w:rPr>
      <w:rFonts w:ascii="Eurostyle;Arial Narrow" w:hAnsi="Eurostyle;Arial Narrow" w:cs="Eurostyle;Arial Narrow"/>
      <w:b/>
      <w:sz w:val="32"/>
    </w:rPr>
  </w:style>
  <w:style w:type="paragraph" w:styleId="BodyText2">
    <w:name w:val="Body Text 2"/>
    <w:basedOn w:val="Normal"/>
    <w:pPr>
      <w:jc w:val="both"/>
    </w:pPr>
    <w:rPr>
      <w:sz w:val="28"/>
    </w:rPr>
  </w:style>
  <w:style w:type="paragraph" w:styleId="NormalWeb2">
    <w:name w:val="Normal (Web)2"/>
    <w:basedOn w:val="Normal"/>
    <w:pPr>
      <w:spacing w:before="140" w:after="140"/>
      <w:ind w:hanging="0" w:left="140" w:right="140"/>
    </w:pPr>
    <w:rPr>
      <w:sz w:val="24"/>
      <w:szCs w:val="24"/>
      <w:lang w:val="ro-RO"/>
    </w:rPr>
  </w:style>
  <w:style w:type="paragraph" w:styleId="icon">
    <w:name w:val="icon"/>
    <w:basedOn w:val="Normal"/>
    <w:pPr>
      <w:spacing w:before="280" w:after="280"/>
    </w:pPr>
    <w:rPr>
      <w:vanish/>
      <w:color w:val="000000"/>
      <w:sz w:val="24"/>
      <w:szCs w:val="24"/>
    </w:rPr>
  </w:style>
  <w:style w:type="paragraph" w:styleId="child">
    <w:name w:val="child"/>
    <w:basedOn w:val="Normal"/>
    <w:pPr>
      <w:spacing w:before="280" w:after="280"/>
      <w:jc w:val="both"/>
    </w:pPr>
    <w:rPr>
      <w:color w:val="000000"/>
      <w:sz w:val="24"/>
      <w:szCs w:val="24"/>
    </w:rPr>
  </w:style>
  <w:style w:type="paragraph" w:styleId="item">
    <w:name w:val="item"/>
    <w:basedOn w:val="Normal"/>
    <w:pPr>
      <w:spacing w:before="280" w:after="280"/>
    </w:pPr>
    <w:rPr>
      <w:color w:val="000000"/>
      <w:sz w:val="24"/>
      <w:szCs w:val="24"/>
    </w:rPr>
  </w:style>
  <w:style w:type="paragraph" w:styleId="parent">
    <w:name w:val="parent"/>
    <w:basedOn w:val="Normal"/>
    <w:pPr>
      <w:spacing w:before="280" w:after="280"/>
    </w:pPr>
    <w:rPr>
      <w:color w:val="000000"/>
      <w:sz w:val="24"/>
      <w:szCs w:val="24"/>
    </w:rPr>
  </w:style>
  <w:style w:type="paragraph" w:styleId="highlight">
    <w:name w:val="highlight"/>
    <w:basedOn w:val="Normal"/>
    <w:pPr>
      <w:shd w:val="clear" w:fill="CCCCCC"/>
      <w:spacing w:before="280" w:after="280"/>
    </w:pPr>
    <w:rPr>
      <w:color w:val="000000"/>
      <w:sz w:val="24"/>
      <w:szCs w:val="24"/>
    </w:rPr>
  </w:style>
  <w:style w:type="paragraph" w:styleId="lego">
    <w:name w:val="lego"/>
    <w:basedOn w:val="Normal"/>
    <w:pPr>
      <w:spacing w:before="280" w:after="280"/>
    </w:pPr>
    <w:rPr>
      <w:i/>
      <w:iCs/>
      <w:color w:val="6666FF"/>
      <w:sz w:val="18"/>
      <w:szCs w:val="18"/>
    </w:rPr>
  </w:style>
  <w:style w:type="paragraph" w:styleId="do">
    <w:name w:val="do"/>
    <w:basedOn w:val="Normal"/>
    <w:pPr>
      <w:spacing w:before="280" w:after="280"/>
      <w:jc w:val="center"/>
    </w:pPr>
    <w:rPr>
      <w:b/>
      <w:bCs/>
      <w:color w:val="000000"/>
      <w:sz w:val="26"/>
      <w:szCs w:val="26"/>
    </w:rPr>
  </w:style>
  <w:style w:type="paragraph" w:styleId="tdo">
    <w:name w:val="tdo"/>
    <w:basedOn w:val="Normal"/>
    <w:pPr>
      <w:spacing w:before="280" w:after="280"/>
      <w:jc w:val="center"/>
    </w:pPr>
    <w:rPr>
      <w:b/>
      <w:bCs/>
      <w:color w:val="000000"/>
      <w:sz w:val="26"/>
      <w:szCs w:val="26"/>
    </w:rPr>
  </w:style>
  <w:style w:type="paragraph" w:styleId="doa">
    <w:name w:val="doa"/>
    <w:basedOn w:val="Normal"/>
    <w:pPr>
      <w:spacing w:before="280" w:after="280"/>
      <w:jc w:val="center"/>
    </w:pPr>
    <w:rPr>
      <w:b/>
      <w:bCs/>
      <w:strike/>
      <w:color w:val="DC143C"/>
      <w:sz w:val="26"/>
      <w:szCs w:val="26"/>
    </w:rPr>
  </w:style>
  <w:style w:type="paragraph" w:styleId="tdoa">
    <w:name w:val="tdoa"/>
    <w:basedOn w:val="Normal"/>
    <w:pPr>
      <w:spacing w:before="280" w:after="280"/>
      <w:jc w:val="center"/>
    </w:pPr>
    <w:rPr>
      <w:b/>
      <w:bCs/>
      <w:strike/>
      <w:color w:val="DC143C"/>
      <w:sz w:val="26"/>
      <w:szCs w:val="26"/>
    </w:rPr>
  </w:style>
  <w:style w:type="paragraph" w:styleId="so">
    <w:name w:val="so"/>
    <w:basedOn w:val="Normal"/>
    <w:pPr>
      <w:spacing w:before="280" w:after="280"/>
    </w:pPr>
    <w:rPr>
      <w:b/>
      <w:bCs/>
      <w:color w:val="000000"/>
      <w:sz w:val="24"/>
      <w:szCs w:val="24"/>
    </w:rPr>
  </w:style>
  <w:style w:type="paragraph" w:styleId="tso">
    <w:name w:val="tso"/>
    <w:basedOn w:val="Normal"/>
    <w:pPr>
      <w:spacing w:before="280" w:after="280"/>
    </w:pPr>
    <w:rPr>
      <w:b/>
      <w:bCs/>
      <w:color w:val="000000"/>
      <w:sz w:val="24"/>
      <w:szCs w:val="24"/>
    </w:rPr>
  </w:style>
  <w:style w:type="paragraph" w:styleId="soa">
    <w:name w:val="soa"/>
    <w:basedOn w:val="Normal"/>
    <w:pPr>
      <w:spacing w:before="280" w:after="280"/>
    </w:pPr>
    <w:rPr>
      <w:b/>
      <w:bCs/>
      <w:strike/>
      <w:color w:val="DC143C"/>
      <w:sz w:val="24"/>
      <w:szCs w:val="24"/>
    </w:rPr>
  </w:style>
  <w:style w:type="paragraph" w:styleId="tsoa">
    <w:name w:val="tsoa"/>
    <w:basedOn w:val="Normal"/>
    <w:pPr>
      <w:spacing w:before="280" w:after="280"/>
    </w:pPr>
    <w:rPr>
      <w:b/>
      <w:bCs/>
      <w:strike/>
      <w:color w:val="DC143C"/>
      <w:sz w:val="24"/>
      <w:szCs w:val="24"/>
    </w:rPr>
  </w:style>
  <w:style w:type="paragraph" w:styleId="tt">
    <w:name w:val="tt"/>
    <w:basedOn w:val="Normal"/>
    <w:pPr>
      <w:spacing w:before="280" w:after="280"/>
    </w:pPr>
    <w:rPr>
      <w:b/>
      <w:bCs/>
      <w:color w:val="000000"/>
      <w:sz w:val="26"/>
      <w:szCs w:val="26"/>
    </w:rPr>
  </w:style>
  <w:style w:type="paragraph" w:styleId="ttt">
    <w:name w:val="ttt"/>
    <w:basedOn w:val="Normal"/>
    <w:pPr>
      <w:spacing w:before="280" w:after="280"/>
    </w:pPr>
    <w:rPr>
      <w:b/>
      <w:bCs/>
      <w:color w:val="000000"/>
      <w:sz w:val="26"/>
      <w:szCs w:val="26"/>
    </w:rPr>
  </w:style>
  <w:style w:type="paragraph" w:styleId="tta">
    <w:name w:val="tta"/>
    <w:basedOn w:val="Normal"/>
    <w:pPr>
      <w:spacing w:before="280" w:after="280"/>
    </w:pPr>
    <w:rPr>
      <w:b/>
      <w:bCs/>
      <w:strike/>
      <w:color w:val="DC143C"/>
      <w:sz w:val="26"/>
      <w:szCs w:val="26"/>
    </w:rPr>
  </w:style>
  <w:style w:type="paragraph" w:styleId="ttta">
    <w:name w:val="ttta"/>
    <w:basedOn w:val="Normal"/>
    <w:pPr>
      <w:spacing w:before="280" w:after="280"/>
    </w:pPr>
    <w:rPr>
      <w:b/>
      <w:bCs/>
      <w:strike/>
      <w:color w:val="DC143C"/>
      <w:sz w:val="26"/>
      <w:szCs w:val="26"/>
    </w:rPr>
  </w:style>
  <w:style w:type="paragraph" w:styleId="st">
    <w:name w:val="st"/>
    <w:basedOn w:val="Normal"/>
    <w:pPr>
      <w:spacing w:before="280" w:after="280"/>
    </w:pPr>
    <w:rPr>
      <w:b/>
      <w:bCs/>
      <w:color w:val="000000"/>
      <w:sz w:val="24"/>
      <w:szCs w:val="24"/>
    </w:rPr>
  </w:style>
  <w:style w:type="paragraph" w:styleId="tst">
    <w:name w:val="tst"/>
    <w:basedOn w:val="Normal"/>
    <w:pPr>
      <w:spacing w:before="280" w:after="280"/>
    </w:pPr>
    <w:rPr>
      <w:b/>
      <w:bCs/>
      <w:color w:val="000000"/>
      <w:sz w:val="24"/>
      <w:szCs w:val="24"/>
    </w:rPr>
  </w:style>
  <w:style w:type="paragraph" w:styleId="sta">
    <w:name w:val="sta"/>
    <w:basedOn w:val="Normal"/>
    <w:pPr>
      <w:spacing w:before="280" w:after="280"/>
    </w:pPr>
    <w:rPr>
      <w:b/>
      <w:bCs/>
      <w:strike/>
      <w:color w:val="DC143C"/>
      <w:sz w:val="24"/>
      <w:szCs w:val="24"/>
    </w:rPr>
  </w:style>
  <w:style w:type="paragraph" w:styleId="tsta">
    <w:name w:val="tsta"/>
    <w:basedOn w:val="Normal"/>
    <w:pPr>
      <w:spacing w:before="280" w:after="280"/>
    </w:pPr>
    <w:rPr>
      <w:b/>
      <w:bCs/>
      <w:strike/>
      <w:color w:val="DC143C"/>
      <w:sz w:val="24"/>
      <w:szCs w:val="24"/>
    </w:rPr>
  </w:style>
  <w:style w:type="paragraph" w:styleId="ax">
    <w:name w:val="ax"/>
    <w:basedOn w:val="Normal"/>
    <w:pPr>
      <w:spacing w:before="280" w:after="280"/>
    </w:pPr>
    <w:rPr>
      <w:b/>
      <w:bCs/>
      <w:color w:val="000000"/>
      <w:sz w:val="26"/>
      <w:szCs w:val="26"/>
    </w:rPr>
  </w:style>
  <w:style w:type="paragraph" w:styleId="tax">
    <w:name w:val="tax"/>
    <w:basedOn w:val="Normal"/>
    <w:pPr>
      <w:spacing w:before="280" w:after="280"/>
    </w:pPr>
    <w:rPr>
      <w:b/>
      <w:bCs/>
      <w:color w:val="000000"/>
      <w:sz w:val="26"/>
      <w:szCs w:val="26"/>
    </w:rPr>
  </w:style>
  <w:style w:type="paragraph" w:styleId="axa">
    <w:name w:val="axa"/>
    <w:basedOn w:val="Normal"/>
    <w:pPr>
      <w:spacing w:before="280" w:after="280"/>
    </w:pPr>
    <w:rPr>
      <w:b/>
      <w:bCs/>
      <w:strike/>
      <w:color w:val="DC143C"/>
      <w:sz w:val="26"/>
      <w:szCs w:val="26"/>
    </w:rPr>
  </w:style>
  <w:style w:type="paragraph" w:styleId="taxa">
    <w:name w:val="taxa"/>
    <w:basedOn w:val="Normal"/>
    <w:pPr>
      <w:spacing w:before="280" w:after="280"/>
    </w:pPr>
    <w:rPr>
      <w:b/>
      <w:bCs/>
      <w:strike/>
      <w:color w:val="DC143C"/>
      <w:sz w:val="26"/>
      <w:szCs w:val="26"/>
    </w:rPr>
  </w:style>
  <w:style w:type="paragraph" w:styleId="pe">
    <w:name w:val="pe"/>
    <w:basedOn w:val="Normal"/>
    <w:pPr>
      <w:spacing w:before="280" w:after="280"/>
    </w:pPr>
    <w:rPr>
      <w:b/>
      <w:bCs/>
      <w:color w:val="000000"/>
      <w:sz w:val="26"/>
      <w:szCs w:val="26"/>
    </w:rPr>
  </w:style>
  <w:style w:type="paragraph" w:styleId="tpe">
    <w:name w:val="tpe"/>
    <w:basedOn w:val="Normal"/>
    <w:pPr>
      <w:spacing w:before="280" w:after="280"/>
    </w:pPr>
    <w:rPr>
      <w:b/>
      <w:bCs/>
      <w:color w:val="000000"/>
      <w:sz w:val="26"/>
      <w:szCs w:val="26"/>
    </w:rPr>
  </w:style>
  <w:style w:type="paragraph" w:styleId="pea">
    <w:name w:val="pea"/>
    <w:basedOn w:val="Normal"/>
    <w:pPr>
      <w:spacing w:before="280" w:after="280"/>
    </w:pPr>
    <w:rPr>
      <w:b/>
      <w:bCs/>
      <w:strike/>
      <w:color w:val="DC143C"/>
      <w:sz w:val="26"/>
      <w:szCs w:val="26"/>
    </w:rPr>
  </w:style>
  <w:style w:type="paragraph" w:styleId="tpea">
    <w:name w:val="tpea"/>
    <w:basedOn w:val="Normal"/>
    <w:pPr>
      <w:spacing w:before="280" w:after="280"/>
    </w:pPr>
    <w:rPr>
      <w:b/>
      <w:bCs/>
      <w:strike/>
      <w:color w:val="DC143C"/>
      <w:sz w:val="26"/>
      <w:szCs w:val="26"/>
    </w:rPr>
  </w:style>
  <w:style w:type="paragraph" w:styleId="se">
    <w:name w:val="se"/>
    <w:basedOn w:val="Normal"/>
    <w:pPr>
      <w:spacing w:before="280" w:after="280"/>
    </w:pPr>
    <w:rPr>
      <w:b/>
      <w:bCs/>
      <w:color w:val="000000"/>
      <w:sz w:val="24"/>
      <w:szCs w:val="24"/>
    </w:rPr>
  </w:style>
  <w:style w:type="paragraph" w:styleId="tse">
    <w:name w:val="tse"/>
    <w:basedOn w:val="Normal"/>
    <w:pPr>
      <w:spacing w:before="280" w:after="280"/>
    </w:pPr>
    <w:rPr>
      <w:b/>
      <w:bCs/>
      <w:color w:val="000000"/>
      <w:sz w:val="24"/>
      <w:szCs w:val="24"/>
    </w:rPr>
  </w:style>
  <w:style w:type="paragraph" w:styleId="sea">
    <w:name w:val="sea"/>
    <w:basedOn w:val="Normal"/>
    <w:pPr>
      <w:spacing w:before="280" w:after="280"/>
    </w:pPr>
    <w:rPr>
      <w:b/>
      <w:bCs/>
      <w:strike/>
      <w:color w:val="DC143C"/>
      <w:sz w:val="24"/>
      <w:szCs w:val="24"/>
    </w:rPr>
  </w:style>
  <w:style w:type="paragraph" w:styleId="tsea">
    <w:name w:val="tsea"/>
    <w:basedOn w:val="Normal"/>
    <w:pPr>
      <w:spacing w:before="280" w:after="280"/>
    </w:pPr>
    <w:rPr>
      <w:b/>
      <w:bCs/>
      <w:strike/>
      <w:color w:val="DC143C"/>
      <w:sz w:val="24"/>
      <w:szCs w:val="24"/>
    </w:rPr>
  </w:style>
  <w:style w:type="paragraph" w:styleId="ca">
    <w:name w:val="ca"/>
    <w:basedOn w:val="Normal"/>
    <w:pPr>
      <w:spacing w:before="280" w:after="280"/>
    </w:pPr>
    <w:rPr>
      <w:b/>
      <w:bCs/>
      <w:color w:val="005F00"/>
      <w:sz w:val="24"/>
      <w:szCs w:val="24"/>
    </w:rPr>
  </w:style>
  <w:style w:type="paragraph" w:styleId="tca">
    <w:name w:val="tca"/>
    <w:basedOn w:val="Normal"/>
    <w:pPr>
      <w:spacing w:before="280" w:after="280"/>
    </w:pPr>
    <w:rPr>
      <w:b/>
      <w:bCs/>
      <w:color w:val="000000"/>
      <w:sz w:val="24"/>
      <w:szCs w:val="24"/>
    </w:rPr>
  </w:style>
  <w:style w:type="paragraph" w:styleId="caa">
    <w:name w:val="caa"/>
    <w:basedOn w:val="Normal"/>
    <w:pPr>
      <w:spacing w:before="280" w:after="280"/>
    </w:pPr>
    <w:rPr>
      <w:b/>
      <w:bCs/>
      <w:strike/>
      <w:color w:val="DC143C"/>
      <w:sz w:val="24"/>
      <w:szCs w:val="24"/>
    </w:rPr>
  </w:style>
  <w:style w:type="paragraph" w:styleId="tcaa">
    <w:name w:val="tcaa"/>
    <w:basedOn w:val="Normal"/>
    <w:pPr>
      <w:spacing w:before="280" w:after="280"/>
    </w:pPr>
    <w:rPr>
      <w:b/>
      <w:bCs/>
      <w:strike/>
      <w:color w:val="DC143C"/>
      <w:sz w:val="24"/>
      <w:szCs w:val="24"/>
    </w:rPr>
  </w:style>
  <w:style w:type="paragraph" w:styleId="sc">
    <w:name w:val="sc"/>
    <w:basedOn w:val="Normal"/>
    <w:pPr>
      <w:spacing w:before="280" w:after="280"/>
    </w:pPr>
    <w:rPr>
      <w:b/>
      <w:bCs/>
      <w:color w:val="000000"/>
      <w:sz w:val="22"/>
      <w:szCs w:val="22"/>
    </w:rPr>
  </w:style>
  <w:style w:type="paragraph" w:styleId="tsc">
    <w:name w:val="tsc"/>
    <w:basedOn w:val="Normal"/>
    <w:pPr>
      <w:spacing w:before="280" w:after="280"/>
    </w:pPr>
    <w:rPr>
      <w:b/>
      <w:bCs/>
      <w:color w:val="000000"/>
      <w:sz w:val="22"/>
      <w:szCs w:val="22"/>
    </w:rPr>
  </w:style>
  <w:style w:type="paragraph" w:styleId="sca">
    <w:name w:val="sca"/>
    <w:basedOn w:val="Normal"/>
    <w:pPr>
      <w:spacing w:before="280" w:after="280"/>
    </w:pPr>
    <w:rPr>
      <w:b/>
      <w:bCs/>
      <w:strike/>
      <w:color w:val="DC143C"/>
      <w:sz w:val="22"/>
      <w:szCs w:val="22"/>
    </w:rPr>
  </w:style>
  <w:style w:type="paragraph" w:styleId="tsca">
    <w:name w:val="tsca"/>
    <w:basedOn w:val="Normal"/>
    <w:pPr>
      <w:spacing w:before="280" w:after="280"/>
    </w:pPr>
    <w:rPr>
      <w:b/>
      <w:bCs/>
      <w:strike/>
      <w:color w:val="DC143C"/>
      <w:sz w:val="22"/>
      <w:szCs w:val="22"/>
    </w:rPr>
  </w:style>
  <w:style w:type="paragraph" w:styleId="si">
    <w:name w:val="si"/>
    <w:basedOn w:val="Normal"/>
    <w:pPr>
      <w:spacing w:before="280" w:after="280"/>
    </w:pPr>
    <w:rPr>
      <w:b/>
      <w:bCs/>
      <w:color w:val="000000"/>
      <w:sz w:val="24"/>
      <w:szCs w:val="24"/>
    </w:rPr>
  </w:style>
  <w:style w:type="paragraph" w:styleId="tsi">
    <w:name w:val="tsi"/>
    <w:basedOn w:val="Normal"/>
    <w:pPr>
      <w:spacing w:before="280" w:after="280"/>
    </w:pPr>
    <w:rPr>
      <w:b/>
      <w:bCs/>
      <w:color w:val="000000"/>
      <w:sz w:val="24"/>
      <w:szCs w:val="24"/>
    </w:rPr>
  </w:style>
  <w:style w:type="paragraph" w:styleId="sia">
    <w:name w:val="sia"/>
    <w:basedOn w:val="Normal"/>
    <w:pPr>
      <w:spacing w:before="280" w:after="280"/>
    </w:pPr>
    <w:rPr>
      <w:b/>
      <w:bCs/>
      <w:strike/>
      <w:color w:val="DC143C"/>
      <w:sz w:val="24"/>
      <w:szCs w:val="24"/>
    </w:rPr>
  </w:style>
  <w:style w:type="paragraph" w:styleId="tsia">
    <w:name w:val="tsia"/>
    <w:basedOn w:val="Normal"/>
    <w:pPr>
      <w:spacing w:before="280" w:after="280"/>
    </w:pPr>
    <w:rPr>
      <w:b/>
      <w:bCs/>
      <w:strike/>
      <w:color w:val="DC143C"/>
      <w:sz w:val="24"/>
      <w:szCs w:val="24"/>
    </w:rPr>
  </w:style>
  <w:style w:type="paragraph" w:styleId="ss">
    <w:name w:val="ss"/>
    <w:basedOn w:val="Normal"/>
    <w:pPr>
      <w:spacing w:before="280" w:after="280"/>
    </w:pPr>
    <w:rPr>
      <w:b/>
      <w:bCs/>
      <w:color w:val="000000"/>
      <w:sz w:val="22"/>
      <w:szCs w:val="22"/>
    </w:rPr>
  </w:style>
  <w:style w:type="paragraph" w:styleId="tss">
    <w:name w:val="tss"/>
    <w:basedOn w:val="Normal"/>
    <w:pPr>
      <w:spacing w:before="280" w:after="280"/>
    </w:pPr>
    <w:rPr>
      <w:b/>
      <w:bCs/>
      <w:color w:val="000000"/>
      <w:sz w:val="22"/>
      <w:szCs w:val="22"/>
    </w:rPr>
  </w:style>
  <w:style w:type="paragraph" w:styleId="ssa">
    <w:name w:val="ssa"/>
    <w:basedOn w:val="Normal"/>
    <w:pPr>
      <w:spacing w:before="280" w:after="280"/>
    </w:pPr>
    <w:rPr>
      <w:b/>
      <w:bCs/>
      <w:strike/>
      <w:color w:val="DC143C"/>
      <w:sz w:val="22"/>
      <w:szCs w:val="22"/>
    </w:rPr>
  </w:style>
  <w:style w:type="paragraph" w:styleId="tssa">
    <w:name w:val="tssa"/>
    <w:basedOn w:val="Normal"/>
    <w:pPr>
      <w:spacing w:before="280" w:after="280"/>
    </w:pPr>
    <w:rPr>
      <w:b/>
      <w:bCs/>
      <w:strike/>
      <w:color w:val="DC143C"/>
      <w:sz w:val="22"/>
      <w:szCs w:val="22"/>
    </w:rPr>
  </w:style>
  <w:style w:type="paragraph" w:styleId="ar">
    <w:name w:val="ar"/>
    <w:basedOn w:val="Normal"/>
    <w:pPr>
      <w:spacing w:before="280" w:after="280"/>
    </w:pPr>
    <w:rPr>
      <w:b/>
      <w:bCs/>
      <w:color w:val="0000AF"/>
      <w:sz w:val="22"/>
      <w:szCs w:val="22"/>
    </w:rPr>
  </w:style>
  <w:style w:type="paragraph" w:styleId="tar">
    <w:name w:val="tar"/>
    <w:basedOn w:val="Normal"/>
    <w:pPr>
      <w:spacing w:before="280" w:after="280"/>
    </w:pPr>
    <w:rPr>
      <w:b/>
      <w:bCs/>
      <w:color w:val="000000"/>
      <w:sz w:val="22"/>
      <w:szCs w:val="22"/>
    </w:rPr>
  </w:style>
  <w:style w:type="paragraph" w:styleId="ara">
    <w:name w:val="ara"/>
    <w:basedOn w:val="Normal"/>
    <w:pPr>
      <w:spacing w:before="280" w:after="280"/>
    </w:pPr>
    <w:rPr>
      <w:b/>
      <w:bCs/>
      <w:strike/>
      <w:color w:val="DC143C"/>
      <w:sz w:val="22"/>
      <w:szCs w:val="22"/>
    </w:rPr>
  </w:style>
  <w:style w:type="paragraph" w:styleId="tara">
    <w:name w:val="tara"/>
    <w:basedOn w:val="Normal"/>
    <w:pPr>
      <w:spacing w:before="280" w:after="280"/>
    </w:pPr>
    <w:rPr>
      <w:b/>
      <w:bCs/>
      <w:strike/>
      <w:color w:val="DC143C"/>
      <w:sz w:val="22"/>
      <w:szCs w:val="22"/>
    </w:rPr>
  </w:style>
  <w:style w:type="paragraph" w:styleId="sr">
    <w:name w:val="sr"/>
    <w:basedOn w:val="Normal"/>
    <w:pPr>
      <w:spacing w:before="280" w:after="280"/>
    </w:pPr>
    <w:rPr>
      <w:b/>
      <w:bCs/>
      <w:color w:val="000000"/>
    </w:rPr>
  </w:style>
  <w:style w:type="paragraph" w:styleId="tsr">
    <w:name w:val="tsr"/>
    <w:basedOn w:val="Normal"/>
    <w:pPr>
      <w:spacing w:before="280" w:after="280"/>
    </w:pPr>
    <w:rPr>
      <w:b/>
      <w:bCs/>
      <w:color w:val="000000"/>
    </w:rPr>
  </w:style>
  <w:style w:type="paragraph" w:styleId="sra">
    <w:name w:val="sra"/>
    <w:basedOn w:val="Normal"/>
    <w:pPr>
      <w:spacing w:before="280" w:after="280"/>
    </w:pPr>
    <w:rPr>
      <w:b/>
      <w:bCs/>
      <w:strike/>
      <w:color w:val="DC143C"/>
    </w:rPr>
  </w:style>
  <w:style w:type="paragraph" w:styleId="tsra">
    <w:name w:val="tsra"/>
    <w:basedOn w:val="Normal"/>
    <w:pPr>
      <w:spacing w:before="280" w:after="280"/>
    </w:pPr>
    <w:rPr>
      <w:b/>
      <w:bCs/>
      <w:strike/>
      <w:color w:val="DC143C"/>
    </w:rPr>
  </w:style>
  <w:style w:type="paragraph" w:styleId="nt">
    <w:name w:val="nt"/>
    <w:basedOn w:val="Normal"/>
    <w:pPr>
      <w:spacing w:before="280" w:after="280"/>
    </w:pPr>
    <w:rPr>
      <w:b/>
      <w:bCs/>
      <w:color w:val="000000"/>
      <w:sz w:val="18"/>
      <w:szCs w:val="18"/>
    </w:rPr>
  </w:style>
  <w:style w:type="paragraph" w:styleId="tnt">
    <w:name w:val="tnt"/>
    <w:basedOn w:val="Normal"/>
    <w:pPr>
      <w:spacing w:before="280" w:after="280"/>
    </w:pPr>
    <w:rPr>
      <w:b/>
      <w:bCs/>
      <w:color w:val="000000"/>
      <w:sz w:val="18"/>
      <w:szCs w:val="18"/>
    </w:rPr>
  </w:style>
  <w:style w:type="paragraph" w:styleId="nta">
    <w:name w:val="nta"/>
    <w:basedOn w:val="Normal"/>
    <w:pPr>
      <w:spacing w:before="280" w:after="280"/>
    </w:pPr>
    <w:rPr>
      <w:b/>
      <w:bCs/>
      <w:strike/>
      <w:color w:val="DC143C"/>
      <w:sz w:val="18"/>
      <w:szCs w:val="18"/>
    </w:rPr>
  </w:style>
  <w:style w:type="paragraph" w:styleId="tnta">
    <w:name w:val="tnta"/>
    <w:basedOn w:val="Normal"/>
    <w:pPr>
      <w:spacing w:before="280" w:after="280"/>
    </w:pPr>
    <w:rPr>
      <w:b/>
      <w:bCs/>
      <w:strike/>
      <w:color w:val="DC143C"/>
      <w:sz w:val="18"/>
      <w:szCs w:val="18"/>
    </w:rPr>
  </w:style>
  <w:style w:type="paragraph" w:styleId="ls">
    <w:name w:val="ls"/>
    <w:basedOn w:val="Normal"/>
    <w:pPr>
      <w:spacing w:before="280" w:after="280"/>
    </w:pPr>
    <w:rPr>
      <w:b/>
      <w:bCs/>
      <w:color w:val="000000"/>
    </w:rPr>
  </w:style>
  <w:style w:type="paragraph" w:styleId="tls">
    <w:name w:val="tls"/>
    <w:basedOn w:val="Normal"/>
    <w:pPr>
      <w:spacing w:before="280" w:after="280"/>
    </w:pPr>
    <w:rPr>
      <w:b/>
      <w:bCs/>
      <w:color w:val="000000"/>
    </w:rPr>
  </w:style>
  <w:style w:type="paragraph" w:styleId="lsa">
    <w:name w:val="lsa"/>
    <w:basedOn w:val="Normal"/>
    <w:pPr>
      <w:spacing w:before="280" w:after="280"/>
    </w:pPr>
    <w:rPr>
      <w:b/>
      <w:bCs/>
      <w:strike/>
      <w:color w:val="DC143C"/>
    </w:rPr>
  </w:style>
  <w:style w:type="paragraph" w:styleId="tlsa">
    <w:name w:val="tlsa"/>
    <w:basedOn w:val="Normal"/>
    <w:pPr>
      <w:spacing w:before="280" w:after="280"/>
    </w:pPr>
    <w:rPr>
      <w:b/>
      <w:bCs/>
      <w:strike/>
      <w:color w:val="DC143C"/>
    </w:rPr>
  </w:style>
  <w:style w:type="paragraph" w:styleId="ct">
    <w:name w:val="ct"/>
    <w:basedOn w:val="Normal"/>
    <w:pPr>
      <w:spacing w:before="280" w:after="280"/>
    </w:pPr>
    <w:rPr>
      <w:b/>
      <w:bCs/>
      <w:color w:val="000000"/>
      <w:sz w:val="26"/>
      <w:szCs w:val="26"/>
    </w:rPr>
  </w:style>
  <w:style w:type="paragraph" w:styleId="tct">
    <w:name w:val="tct"/>
    <w:basedOn w:val="Normal"/>
    <w:pPr>
      <w:spacing w:before="280" w:after="280"/>
    </w:pPr>
    <w:rPr>
      <w:b/>
      <w:bCs/>
      <w:color w:val="000000"/>
      <w:sz w:val="26"/>
      <w:szCs w:val="26"/>
    </w:rPr>
  </w:style>
  <w:style w:type="paragraph" w:styleId="cta">
    <w:name w:val="cta"/>
    <w:basedOn w:val="Normal"/>
    <w:pPr>
      <w:spacing w:before="280" w:after="280"/>
    </w:pPr>
    <w:rPr>
      <w:b/>
      <w:bCs/>
      <w:strike/>
      <w:color w:val="DC143C"/>
      <w:sz w:val="26"/>
      <w:szCs w:val="26"/>
    </w:rPr>
  </w:style>
  <w:style w:type="paragraph" w:styleId="tcta">
    <w:name w:val="tcta"/>
    <w:basedOn w:val="Normal"/>
    <w:pPr>
      <w:spacing w:before="280" w:after="280"/>
    </w:pPr>
    <w:rPr>
      <w:b/>
      <w:bCs/>
      <w:strike/>
      <w:color w:val="DC143C"/>
      <w:sz w:val="26"/>
      <w:szCs w:val="26"/>
    </w:rPr>
  </w:style>
  <w:style w:type="paragraph" w:styleId="ta">
    <w:name w:val="ta"/>
    <w:basedOn w:val="Normal"/>
    <w:pPr>
      <w:spacing w:before="280" w:after="280"/>
    </w:pPr>
    <w:rPr>
      <w:b/>
      <w:bCs/>
      <w:color w:val="000000"/>
    </w:rPr>
  </w:style>
  <w:style w:type="paragraph" w:styleId="tta0">
    <w:name w:val="tta0"/>
    <w:basedOn w:val="Normal"/>
    <w:pPr>
      <w:spacing w:before="280" w:after="280"/>
    </w:pPr>
    <w:rPr>
      <w:b/>
      <w:bCs/>
      <w:color w:val="000000"/>
    </w:rPr>
  </w:style>
  <w:style w:type="paragraph" w:styleId="taa">
    <w:name w:val="taa"/>
    <w:basedOn w:val="Normal"/>
    <w:pPr>
      <w:spacing w:before="280" w:after="280"/>
    </w:pPr>
    <w:rPr>
      <w:b/>
      <w:bCs/>
      <w:strike/>
      <w:color w:val="DC143C"/>
    </w:rPr>
  </w:style>
  <w:style w:type="paragraph" w:styleId="ttaa">
    <w:name w:val="ttaa"/>
    <w:basedOn w:val="Normal"/>
    <w:pPr>
      <w:spacing w:before="280" w:after="280"/>
    </w:pPr>
    <w:rPr>
      <w:b/>
      <w:bCs/>
      <w:strike/>
      <w:color w:val="DC143C"/>
    </w:rPr>
  </w:style>
  <w:style w:type="paragraph" w:styleId="tpa">
    <w:name w:val="tpa"/>
    <w:basedOn w:val="Normal"/>
    <w:pPr>
      <w:spacing w:before="280" w:after="280"/>
    </w:pPr>
    <w:rPr>
      <w:color w:val="000000"/>
      <w:sz w:val="24"/>
      <w:szCs w:val="24"/>
    </w:rPr>
  </w:style>
  <w:style w:type="paragraph" w:styleId="paa">
    <w:name w:val="paa"/>
    <w:basedOn w:val="Normal"/>
    <w:pPr>
      <w:spacing w:before="280" w:after="280"/>
    </w:pPr>
    <w:rPr>
      <w:strike/>
      <w:color w:val="DC143C"/>
      <w:sz w:val="24"/>
      <w:szCs w:val="24"/>
    </w:rPr>
  </w:style>
  <w:style w:type="paragraph" w:styleId="tpaa">
    <w:name w:val="tpaa"/>
    <w:basedOn w:val="Normal"/>
    <w:pPr>
      <w:spacing w:before="280" w:after="280"/>
    </w:pPr>
    <w:rPr>
      <w:strike/>
      <w:color w:val="DC143C"/>
      <w:sz w:val="24"/>
      <w:szCs w:val="24"/>
    </w:rPr>
  </w:style>
  <w:style w:type="paragraph" w:styleId="al">
    <w:name w:val="al"/>
    <w:basedOn w:val="Normal"/>
    <w:pPr>
      <w:spacing w:before="280" w:after="280"/>
    </w:pPr>
    <w:rPr>
      <w:b/>
      <w:bCs/>
      <w:color w:val="008F00"/>
      <w:sz w:val="24"/>
      <w:szCs w:val="24"/>
    </w:rPr>
  </w:style>
  <w:style w:type="paragraph" w:styleId="tal">
    <w:name w:val="tal"/>
    <w:basedOn w:val="Normal"/>
    <w:pPr>
      <w:spacing w:before="280" w:after="280"/>
    </w:pPr>
    <w:rPr>
      <w:color w:val="000000"/>
      <w:sz w:val="24"/>
      <w:szCs w:val="24"/>
    </w:rPr>
  </w:style>
  <w:style w:type="paragraph" w:styleId="ala">
    <w:name w:val="ala"/>
    <w:basedOn w:val="Normal"/>
    <w:pPr>
      <w:spacing w:before="280" w:after="280"/>
    </w:pPr>
    <w:rPr>
      <w:b/>
      <w:bCs/>
      <w:strike/>
      <w:color w:val="DC143C"/>
      <w:sz w:val="24"/>
      <w:szCs w:val="24"/>
    </w:rPr>
  </w:style>
  <w:style w:type="paragraph" w:styleId="tala">
    <w:name w:val="tala"/>
    <w:basedOn w:val="Normal"/>
    <w:pPr>
      <w:spacing w:before="280" w:after="280"/>
    </w:pPr>
    <w:rPr>
      <w:strike/>
      <w:color w:val="DC143C"/>
      <w:sz w:val="24"/>
      <w:szCs w:val="24"/>
    </w:rPr>
  </w:style>
  <w:style w:type="paragraph" w:styleId="li">
    <w:name w:val="li"/>
    <w:basedOn w:val="Normal"/>
    <w:pPr>
      <w:spacing w:before="280" w:after="280"/>
    </w:pPr>
    <w:rPr>
      <w:b/>
      <w:bCs/>
      <w:color w:val="8F0000"/>
      <w:sz w:val="24"/>
      <w:szCs w:val="24"/>
    </w:rPr>
  </w:style>
  <w:style w:type="paragraph" w:styleId="tli">
    <w:name w:val="tli"/>
    <w:basedOn w:val="Normal"/>
    <w:pPr>
      <w:spacing w:before="280" w:after="280"/>
    </w:pPr>
    <w:rPr>
      <w:color w:val="000000"/>
      <w:sz w:val="24"/>
      <w:szCs w:val="24"/>
    </w:rPr>
  </w:style>
  <w:style w:type="paragraph" w:styleId="lia">
    <w:name w:val="lia"/>
    <w:basedOn w:val="Normal"/>
    <w:pPr>
      <w:spacing w:before="280" w:after="280"/>
    </w:pPr>
    <w:rPr>
      <w:b/>
      <w:bCs/>
      <w:strike/>
      <w:color w:val="DC143C"/>
      <w:sz w:val="24"/>
      <w:szCs w:val="24"/>
    </w:rPr>
  </w:style>
  <w:style w:type="paragraph" w:styleId="tlia">
    <w:name w:val="tlia"/>
    <w:basedOn w:val="Normal"/>
    <w:pPr>
      <w:spacing w:before="280" w:after="280"/>
    </w:pPr>
    <w:rPr>
      <w:strike/>
      <w:color w:val="DC143C"/>
      <w:sz w:val="24"/>
      <w:szCs w:val="24"/>
    </w:rPr>
  </w:style>
  <w:style w:type="paragraph" w:styleId="lt">
    <w:name w:val="lt"/>
    <w:basedOn w:val="Normal"/>
    <w:pPr>
      <w:spacing w:before="280" w:after="280"/>
    </w:pPr>
    <w:rPr>
      <w:b/>
      <w:bCs/>
      <w:color w:val="8F0000"/>
      <w:sz w:val="24"/>
      <w:szCs w:val="24"/>
    </w:rPr>
  </w:style>
  <w:style w:type="paragraph" w:styleId="tlt">
    <w:name w:val="tlt"/>
    <w:basedOn w:val="Normal"/>
    <w:pPr>
      <w:spacing w:before="280" w:after="280"/>
    </w:pPr>
    <w:rPr>
      <w:color w:val="000000"/>
      <w:sz w:val="24"/>
      <w:szCs w:val="24"/>
    </w:rPr>
  </w:style>
  <w:style w:type="paragraph" w:styleId="lta">
    <w:name w:val="lta"/>
    <w:basedOn w:val="Normal"/>
    <w:pPr>
      <w:spacing w:before="280" w:after="280"/>
    </w:pPr>
    <w:rPr>
      <w:b/>
      <w:bCs/>
      <w:strike/>
      <w:color w:val="DC143C"/>
      <w:sz w:val="24"/>
      <w:szCs w:val="24"/>
    </w:rPr>
  </w:style>
  <w:style w:type="paragraph" w:styleId="tlta">
    <w:name w:val="tlta"/>
    <w:basedOn w:val="Normal"/>
    <w:pPr>
      <w:spacing w:before="280" w:after="280"/>
    </w:pPr>
    <w:rPr>
      <w:strike/>
      <w:color w:val="DC143C"/>
      <w:sz w:val="24"/>
      <w:szCs w:val="24"/>
    </w:rPr>
  </w:style>
  <w:style w:type="paragraph" w:styleId="pt">
    <w:name w:val="pt"/>
    <w:basedOn w:val="Normal"/>
    <w:pPr>
      <w:spacing w:before="280" w:after="280"/>
    </w:pPr>
    <w:rPr>
      <w:b/>
      <w:bCs/>
      <w:color w:val="8F0000"/>
      <w:sz w:val="24"/>
      <w:szCs w:val="24"/>
    </w:rPr>
  </w:style>
  <w:style w:type="paragraph" w:styleId="tpt">
    <w:name w:val="tpt"/>
    <w:basedOn w:val="Normal"/>
    <w:pPr>
      <w:spacing w:before="280" w:after="280"/>
    </w:pPr>
    <w:rPr>
      <w:color w:val="000000"/>
      <w:sz w:val="24"/>
      <w:szCs w:val="24"/>
    </w:rPr>
  </w:style>
  <w:style w:type="paragraph" w:styleId="pta">
    <w:name w:val="pta"/>
    <w:basedOn w:val="Normal"/>
    <w:pPr>
      <w:spacing w:before="280" w:after="280"/>
    </w:pPr>
    <w:rPr>
      <w:b/>
      <w:bCs/>
      <w:strike/>
      <w:color w:val="DC143C"/>
      <w:sz w:val="24"/>
      <w:szCs w:val="24"/>
    </w:rPr>
  </w:style>
  <w:style w:type="paragraph" w:styleId="tpta">
    <w:name w:val="tpta"/>
    <w:basedOn w:val="Normal"/>
    <w:pPr>
      <w:spacing w:before="280" w:after="280"/>
    </w:pPr>
    <w:rPr>
      <w:strike/>
      <w:color w:val="DC143C"/>
      <w:sz w:val="24"/>
      <w:szCs w:val="24"/>
    </w:rPr>
  </w:style>
  <w:style w:type="paragraph" w:styleId="sp">
    <w:name w:val="sp"/>
    <w:basedOn w:val="Normal"/>
    <w:pPr>
      <w:spacing w:before="280" w:after="280"/>
    </w:pPr>
    <w:rPr>
      <w:b/>
      <w:bCs/>
      <w:color w:val="8F0000"/>
      <w:sz w:val="24"/>
      <w:szCs w:val="24"/>
    </w:rPr>
  </w:style>
  <w:style w:type="paragraph" w:styleId="tsp">
    <w:name w:val="tsp"/>
    <w:basedOn w:val="Normal"/>
    <w:pPr>
      <w:spacing w:before="280" w:after="280"/>
    </w:pPr>
    <w:rPr>
      <w:color w:val="000000"/>
      <w:sz w:val="24"/>
      <w:szCs w:val="24"/>
    </w:rPr>
  </w:style>
  <w:style w:type="paragraph" w:styleId="spa">
    <w:name w:val="spa"/>
    <w:basedOn w:val="Normal"/>
    <w:pPr>
      <w:spacing w:before="280" w:after="280"/>
    </w:pPr>
    <w:rPr>
      <w:b/>
      <w:bCs/>
      <w:strike/>
      <w:color w:val="DC143C"/>
      <w:sz w:val="24"/>
      <w:szCs w:val="24"/>
    </w:rPr>
  </w:style>
  <w:style w:type="paragraph" w:styleId="tspa">
    <w:name w:val="tspa"/>
    <w:basedOn w:val="Normal"/>
    <w:pPr>
      <w:spacing w:before="280" w:after="280"/>
    </w:pPr>
    <w:rPr>
      <w:strike/>
      <w:color w:val="DC143C"/>
      <w:sz w:val="24"/>
      <w:szCs w:val="24"/>
    </w:rPr>
  </w:style>
  <w:style w:type="paragraph" w:styleId="TableText">
    <w:name w:val="Table Text"/>
    <w:basedOn w:val="Normal"/>
    <w:pPr/>
    <w:rPr>
      <w:rFonts w:ascii="TimesRomanR;Times New Roman" w:hAnsi="TimesRomanR;Times New Roman" w:cs="TimesRomanR;Times New Roman"/>
      <w:sz w:val="28"/>
    </w:rPr>
  </w:style>
  <w:style w:type="paragraph" w:styleId="Default">
    <w:name w:val="Default"/>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zh-CN" w:bidi="ar-SA"/>
    </w:rPr>
  </w:style>
  <w:style w:type="paragraph" w:styleId="CM2">
    <w:name w:val="CM2"/>
    <w:basedOn w:val="Default"/>
    <w:next w:val="Default"/>
    <w:pPr>
      <w:spacing w:lineRule="atLeast" w:line="216"/>
    </w:pPr>
    <w:rPr>
      <w:color w:val="000000"/>
    </w:rPr>
  </w:style>
  <w:style w:type="paragraph" w:styleId="CM1">
    <w:name w:val="CM1"/>
    <w:basedOn w:val="Default"/>
    <w:next w:val="Default"/>
    <w:pPr>
      <w:spacing w:lineRule="atLeast" w:line="211"/>
    </w:pPr>
    <w:rPr>
      <w:color w:val="000000"/>
    </w:rPr>
  </w:style>
  <w:style w:type="paragraph" w:styleId="CM5">
    <w:name w:val="CM5"/>
    <w:basedOn w:val="Default"/>
    <w:next w:val="Default"/>
    <w:pPr/>
    <w:rPr>
      <w:color w:val="000000"/>
    </w:rPr>
  </w:style>
  <w:style w:type="paragraph" w:styleId="CM4">
    <w:name w:val="CM4"/>
    <w:basedOn w:val="Default"/>
    <w:next w:val="Default"/>
    <w:pPr>
      <w:spacing w:lineRule="atLeast" w:line="213"/>
    </w:pPr>
    <w:rPr>
      <w:color w:val="000000"/>
    </w:rPr>
  </w:style>
  <w:style w:type="paragraph" w:styleId="CM11">
    <w:name w:val="CM1+1"/>
    <w:basedOn w:val="Default"/>
    <w:next w:val="Default"/>
    <w:pPr>
      <w:spacing w:lineRule="atLeast" w:line="213"/>
    </w:pPr>
    <w:rPr>
      <w:color w:val="000000"/>
    </w:rPr>
  </w:style>
  <w:style w:type="paragraph" w:styleId="CM21">
    <w:name w:val="CM2+1"/>
    <w:basedOn w:val="Default"/>
    <w:next w:val="Default"/>
    <w:pPr/>
    <w:rPr>
      <w:color w:val="000000"/>
    </w:rPr>
  </w:style>
  <w:style w:type="paragraph" w:styleId="CM31">
    <w:name w:val="CM3+1"/>
    <w:basedOn w:val="Default"/>
    <w:next w:val="Default"/>
    <w:pPr>
      <w:spacing w:lineRule="atLeast" w:line="213"/>
    </w:pPr>
    <w:rPr>
      <w:color w:val="000000"/>
    </w:rPr>
  </w:style>
  <w:style w:type="paragraph" w:styleId="CM12">
    <w:name w:val="CM1+2"/>
    <w:basedOn w:val="Default"/>
    <w:next w:val="Default"/>
    <w:pPr>
      <w:spacing w:lineRule="atLeast" w:line="220"/>
    </w:pPr>
    <w:rPr>
      <w:color w:val="000000"/>
    </w:rPr>
  </w:style>
  <w:style w:type="paragraph" w:styleId="CM32">
    <w:name w:val="CM3+2"/>
    <w:basedOn w:val="Default"/>
    <w:next w:val="Default"/>
    <w:pPr/>
    <w:rPr>
      <w:color w:val="000000"/>
    </w:rPr>
  </w:style>
  <w:style w:type="paragraph" w:styleId="CM22">
    <w:name w:val="CM2+2"/>
    <w:basedOn w:val="Default"/>
    <w:next w:val="Default"/>
    <w:pPr>
      <w:spacing w:lineRule="atLeast" w:line="218"/>
    </w:pPr>
    <w:rPr>
      <w:color w:val="000000"/>
    </w:rPr>
  </w:style>
  <w:style w:type="paragraph" w:styleId="CM13">
    <w:name w:val="CM1+3"/>
    <w:basedOn w:val="Default"/>
    <w:next w:val="Default"/>
    <w:pPr>
      <w:spacing w:lineRule="atLeast" w:line="213"/>
    </w:pPr>
    <w:rPr>
      <w:color w:val="000000"/>
    </w:rPr>
  </w:style>
  <w:style w:type="paragraph" w:styleId="CM6">
    <w:name w:val="CM6"/>
    <w:basedOn w:val="Default"/>
    <w:next w:val="Default"/>
    <w:pPr/>
    <w:rPr>
      <w:color w:val="000000"/>
    </w:rPr>
  </w:style>
  <w:style w:type="paragraph" w:styleId="CM23">
    <w:name w:val="CM2+3"/>
    <w:basedOn w:val="Default"/>
    <w:next w:val="Default"/>
    <w:pPr>
      <w:spacing w:lineRule="atLeast" w:line="226"/>
    </w:pPr>
    <w:rPr>
      <w:color w:val="000000"/>
    </w:rPr>
  </w:style>
  <w:style w:type="paragraph" w:styleId="CM33">
    <w:name w:val="CM3+3"/>
    <w:basedOn w:val="Default"/>
    <w:next w:val="Default"/>
    <w:pPr>
      <w:spacing w:lineRule="atLeast" w:line="213"/>
    </w:pPr>
    <w:rPr>
      <w:color w:val="000000"/>
    </w:rPr>
  </w:style>
  <w:style w:type="paragraph" w:styleId="CM42">
    <w:name w:val="CM4+2"/>
    <w:basedOn w:val="Default"/>
    <w:next w:val="Default"/>
    <w:pPr>
      <w:spacing w:lineRule="atLeast" w:line="216"/>
    </w:pPr>
    <w:rPr>
      <w:color w:val="000000"/>
    </w:rPr>
  </w:style>
  <w:style w:type="paragraph" w:styleId="CM51">
    <w:name w:val="CM5+1"/>
    <w:basedOn w:val="Default"/>
    <w:next w:val="Default"/>
    <w:pPr>
      <w:spacing w:lineRule="atLeast" w:line="213"/>
    </w:pPr>
    <w:rPr>
      <w:color w:val="000000"/>
    </w:rPr>
  </w:style>
  <w:style w:type="paragraph" w:styleId="CM14">
    <w:name w:val="CM1+4"/>
    <w:basedOn w:val="Default"/>
    <w:next w:val="Default"/>
    <w:pPr>
      <w:spacing w:lineRule="atLeast" w:line="213"/>
    </w:pPr>
    <w:rPr>
      <w:color w:val="000000"/>
    </w:rPr>
  </w:style>
  <w:style w:type="paragraph" w:styleId="CM24">
    <w:name w:val="CM2+4"/>
    <w:basedOn w:val="Default"/>
    <w:next w:val="Default"/>
    <w:pPr>
      <w:spacing w:lineRule="atLeast" w:line="211"/>
    </w:pPr>
    <w:rPr>
      <w:color w:val="000000"/>
    </w:rPr>
  </w:style>
  <w:style w:type="paragraph" w:styleId="CM34">
    <w:name w:val="CM3+4"/>
    <w:basedOn w:val="Default"/>
    <w:next w:val="Default"/>
    <w:pPr>
      <w:spacing w:lineRule="atLeast" w:line="213"/>
    </w:pPr>
    <w:rPr>
      <w:color w:val="000000"/>
    </w:rPr>
  </w:style>
  <w:style w:type="paragraph" w:styleId="CM15">
    <w:name w:val="CM1+5"/>
    <w:basedOn w:val="Default"/>
    <w:next w:val="Default"/>
    <w:pPr>
      <w:spacing w:lineRule="atLeast" w:line="218"/>
    </w:pPr>
    <w:rPr>
      <w:color w:val="000000"/>
    </w:rPr>
  </w:style>
  <w:style w:type="paragraph" w:styleId="CM25">
    <w:name w:val="CM2+5"/>
    <w:basedOn w:val="Default"/>
    <w:next w:val="Default"/>
    <w:pPr>
      <w:spacing w:lineRule="atLeast" w:line="216"/>
    </w:pPr>
    <w:rPr>
      <w:color w:val="000000"/>
    </w:rPr>
  </w:style>
  <w:style w:type="paragraph" w:styleId="CM35">
    <w:name w:val="CM3+5"/>
    <w:basedOn w:val="Default"/>
    <w:next w:val="Default"/>
    <w:pPr>
      <w:spacing w:lineRule="atLeast" w:line="213"/>
    </w:pPr>
    <w:rPr>
      <w:color w:val="000000"/>
    </w:rPr>
  </w:style>
  <w:style w:type="paragraph" w:styleId="CM43">
    <w:name w:val="CM4+3"/>
    <w:basedOn w:val="Default"/>
    <w:next w:val="Default"/>
    <w:pPr>
      <w:spacing w:lineRule="atLeast" w:line="213"/>
    </w:pPr>
    <w:rPr>
      <w:color w:val="000000"/>
    </w:rPr>
  </w:style>
  <w:style w:type="paragraph" w:styleId="CM52">
    <w:name w:val="CM5+2"/>
    <w:basedOn w:val="Default"/>
    <w:next w:val="Default"/>
    <w:pPr>
      <w:spacing w:lineRule="atLeast" w:line="213"/>
    </w:pPr>
    <w:rPr>
      <w:color w:val="000000"/>
    </w:rPr>
  </w:style>
  <w:style w:type="paragraph" w:styleId="CM61">
    <w:name w:val="CM6+1"/>
    <w:basedOn w:val="Default"/>
    <w:next w:val="Default"/>
    <w:pPr/>
    <w:rPr>
      <w:color w:val="000000"/>
    </w:rPr>
  </w:style>
  <w:style w:type="paragraph" w:styleId="CM7">
    <w:name w:val="CM7"/>
    <w:basedOn w:val="Default"/>
    <w:next w:val="Default"/>
    <w:pPr>
      <w:spacing w:lineRule="atLeast" w:line="213"/>
    </w:pPr>
    <w:rPr>
      <w:color w:val="000000"/>
    </w:rPr>
  </w:style>
  <w:style w:type="paragraph" w:styleId="CM16">
    <w:name w:val="CM1+6"/>
    <w:basedOn w:val="Default"/>
    <w:next w:val="Default"/>
    <w:pPr>
      <w:spacing w:lineRule="atLeast" w:line="206"/>
    </w:pPr>
    <w:rPr>
      <w:color w:val="000000"/>
    </w:rPr>
  </w:style>
  <w:style w:type="paragraph" w:styleId="CM26">
    <w:name w:val="CM2+6"/>
    <w:basedOn w:val="Default"/>
    <w:next w:val="Default"/>
    <w:pPr>
      <w:spacing w:lineRule="atLeast" w:line="213"/>
    </w:pPr>
    <w:rPr>
      <w:color w:val="000000"/>
    </w:rPr>
  </w:style>
  <w:style w:type="paragraph" w:styleId="CM36">
    <w:name w:val="CM3+6"/>
    <w:basedOn w:val="Default"/>
    <w:next w:val="Default"/>
    <w:pPr>
      <w:spacing w:lineRule="atLeast" w:line="216"/>
    </w:pPr>
    <w:rPr>
      <w:color w:val="000000"/>
    </w:rPr>
  </w:style>
  <w:style w:type="paragraph" w:styleId="CM17">
    <w:name w:val="CM1+7"/>
    <w:basedOn w:val="Default"/>
    <w:next w:val="Default"/>
    <w:pPr>
      <w:spacing w:lineRule="atLeast" w:line="213"/>
    </w:pPr>
    <w:rPr>
      <w:color w:val="000000"/>
    </w:rPr>
  </w:style>
  <w:style w:type="paragraph" w:styleId="CM27">
    <w:name w:val="CM2+7"/>
    <w:basedOn w:val="Default"/>
    <w:next w:val="Default"/>
    <w:pPr>
      <w:spacing w:lineRule="atLeast" w:line="218"/>
    </w:pPr>
    <w:rPr>
      <w:color w:val="000000"/>
    </w:rPr>
  </w:style>
  <w:style w:type="paragraph" w:styleId="CM37">
    <w:name w:val="CM3+7"/>
    <w:basedOn w:val="Default"/>
    <w:next w:val="Default"/>
    <w:pPr>
      <w:spacing w:lineRule="atLeast" w:line="216"/>
    </w:pPr>
    <w:rPr>
      <w:color w:val="000000"/>
    </w:rPr>
  </w:style>
  <w:style w:type="paragraph" w:styleId="CM44">
    <w:name w:val="CM4+4"/>
    <w:basedOn w:val="Default"/>
    <w:next w:val="Default"/>
    <w:pPr>
      <w:spacing w:lineRule="atLeast" w:line="228"/>
    </w:pPr>
    <w:rPr>
      <w:color w:val="000000"/>
    </w:rPr>
  </w:style>
  <w:style w:type="paragraph" w:styleId="CM18">
    <w:name w:val="CM1+8"/>
    <w:basedOn w:val="Default"/>
    <w:next w:val="Default"/>
    <w:pPr>
      <w:spacing w:lineRule="atLeast" w:line="218"/>
    </w:pPr>
    <w:rPr>
      <w:color w:val="000000"/>
    </w:rPr>
  </w:style>
  <w:style w:type="paragraph" w:styleId="CM19">
    <w:name w:val="CM1+9"/>
    <w:basedOn w:val="Default"/>
    <w:next w:val="Default"/>
    <w:pPr>
      <w:spacing w:lineRule="atLeast" w:line="213"/>
    </w:pPr>
    <w:rPr>
      <w:color w:val="000000"/>
    </w:rPr>
  </w:style>
  <w:style w:type="paragraph" w:styleId="CM28">
    <w:name w:val="CM2+8"/>
    <w:basedOn w:val="Default"/>
    <w:next w:val="Default"/>
    <w:pPr>
      <w:spacing w:lineRule="atLeast" w:line="211"/>
    </w:pPr>
    <w:rPr>
      <w:color w:val="000000"/>
    </w:rPr>
  </w:style>
  <w:style w:type="paragraph" w:styleId="CM38">
    <w:name w:val="CM3+8"/>
    <w:basedOn w:val="Default"/>
    <w:next w:val="Default"/>
    <w:pPr>
      <w:spacing w:lineRule="atLeast" w:line="211"/>
    </w:pPr>
    <w:rPr>
      <w:color w:val="000000"/>
    </w:rPr>
  </w:style>
  <w:style w:type="paragraph" w:styleId="CM62">
    <w:name w:val="CM6+2"/>
    <w:basedOn w:val="Default"/>
    <w:next w:val="Default"/>
    <w:pPr/>
    <w:rPr>
      <w:color w:val="000000"/>
    </w:rPr>
  </w:style>
  <w:style w:type="paragraph" w:styleId="CM45">
    <w:name w:val="CM4+5"/>
    <w:basedOn w:val="Default"/>
    <w:next w:val="Default"/>
    <w:pPr>
      <w:spacing w:lineRule="atLeast" w:line="211"/>
    </w:pPr>
    <w:rPr>
      <w:color w:val="000000"/>
    </w:rPr>
  </w:style>
  <w:style w:type="paragraph" w:styleId="CM53">
    <w:name w:val="CM5+3"/>
    <w:basedOn w:val="Default"/>
    <w:next w:val="Default"/>
    <w:pPr>
      <w:spacing w:lineRule="atLeast" w:line="208"/>
    </w:pPr>
    <w:rPr>
      <w:color w:val="000000"/>
    </w:rPr>
  </w:style>
  <w:style w:type="paragraph" w:styleId="CM110">
    <w:name w:val="CM1+10"/>
    <w:basedOn w:val="Default"/>
    <w:next w:val="Default"/>
    <w:pPr>
      <w:spacing w:lineRule="atLeast" w:line="213"/>
    </w:pPr>
    <w:rPr>
      <w:color w:val="000000"/>
    </w:rPr>
  </w:style>
  <w:style w:type="paragraph" w:styleId="CM29">
    <w:name w:val="CM2+9"/>
    <w:basedOn w:val="Default"/>
    <w:next w:val="Default"/>
    <w:pPr/>
    <w:rPr>
      <w:color w:val="000000"/>
    </w:rPr>
  </w:style>
  <w:style w:type="paragraph" w:styleId="CM8">
    <w:name w:val="CM8"/>
    <w:basedOn w:val="Default"/>
    <w:next w:val="Default"/>
    <w:pPr/>
    <w:rPr>
      <w:color w:val="000000"/>
    </w:rPr>
  </w:style>
  <w:style w:type="paragraph" w:styleId="CM39">
    <w:name w:val="CM3+9"/>
    <w:basedOn w:val="Default"/>
    <w:next w:val="Default"/>
    <w:pPr/>
    <w:rPr>
      <w:color w:val="000000"/>
    </w:rPr>
  </w:style>
  <w:style w:type="paragraph" w:styleId="CM46">
    <w:name w:val="CM4+6"/>
    <w:basedOn w:val="Default"/>
    <w:next w:val="Default"/>
    <w:pPr>
      <w:spacing w:lineRule="atLeast" w:line="203"/>
    </w:pPr>
    <w:rPr>
      <w:color w:val="000000"/>
    </w:rPr>
  </w:style>
  <w:style w:type="paragraph" w:styleId="CM54">
    <w:name w:val="CM5+4"/>
    <w:basedOn w:val="Default"/>
    <w:next w:val="Default"/>
    <w:pPr>
      <w:spacing w:lineRule="atLeast" w:line="208"/>
    </w:pPr>
    <w:rPr>
      <w:color w:val="000000"/>
    </w:rPr>
  </w:style>
  <w:style w:type="paragraph" w:styleId="CM71">
    <w:name w:val="CM7+1"/>
    <w:basedOn w:val="Default"/>
    <w:next w:val="Default"/>
    <w:pPr/>
    <w:rPr>
      <w:color w:val="000000"/>
    </w:rPr>
  </w:style>
  <w:style w:type="paragraph" w:styleId="CM63">
    <w:name w:val="CM6+3"/>
    <w:basedOn w:val="Default"/>
    <w:next w:val="Default"/>
    <w:pPr>
      <w:spacing w:lineRule="atLeast" w:line="208"/>
    </w:pPr>
    <w:rPr>
      <w:color w:val="000000"/>
    </w:rPr>
  </w:style>
  <w:style w:type="paragraph" w:styleId="CM111">
    <w:name w:val="CM1+11"/>
    <w:basedOn w:val="Default"/>
    <w:next w:val="Default"/>
    <w:pPr>
      <w:spacing w:lineRule="atLeast" w:line="213"/>
    </w:pPr>
    <w:rPr>
      <w:rFonts w:ascii="HiddenHorzOCl;Arial" w:hAnsi="HiddenHorzOCl;Arial" w:cs="HiddenHorzOCl;Arial"/>
      <w:color w:val="000000"/>
    </w:rPr>
  </w:style>
  <w:style w:type="paragraph" w:styleId="CM210">
    <w:name w:val="CM2+10"/>
    <w:basedOn w:val="Default"/>
    <w:next w:val="Default"/>
    <w:pPr>
      <w:spacing w:lineRule="atLeast" w:line="211"/>
    </w:pPr>
    <w:rPr>
      <w:rFonts w:ascii="HiddenHorzOCl;Arial" w:hAnsi="HiddenHorzOCl;Arial" w:cs="HiddenHorzOCl;Arial"/>
      <w:color w:val="000000"/>
    </w:rPr>
  </w:style>
  <w:style w:type="paragraph" w:styleId="CM310">
    <w:name w:val="CM3+10"/>
    <w:basedOn w:val="Default"/>
    <w:next w:val="Default"/>
    <w:pPr>
      <w:spacing w:lineRule="atLeast" w:line="216"/>
    </w:pPr>
    <w:rPr>
      <w:rFonts w:ascii="HiddenHorzOCl;Arial" w:hAnsi="HiddenHorzOCl;Arial" w:cs="HiddenHorzOCl;Arial"/>
      <w:color w:val="000000"/>
    </w:rPr>
  </w:style>
  <w:style w:type="paragraph" w:styleId="CM64">
    <w:name w:val="CM6+4"/>
    <w:basedOn w:val="Default"/>
    <w:next w:val="Default"/>
    <w:pPr/>
    <w:rPr>
      <w:rFonts w:ascii="HiddenHorzOCl;Arial" w:hAnsi="HiddenHorzOCl;Arial" w:cs="HiddenHorzOCl;Arial"/>
      <w:color w:val="000000"/>
    </w:rPr>
  </w:style>
  <w:style w:type="paragraph" w:styleId="CM55">
    <w:name w:val="CM5+5"/>
    <w:basedOn w:val="Default"/>
    <w:next w:val="Default"/>
    <w:pPr/>
    <w:rPr>
      <w:rFonts w:ascii="HiddenHorzOCl;Arial" w:hAnsi="HiddenHorzOCl;Arial" w:cs="HiddenHorzOCl;Arial"/>
      <w:color w:val="000000"/>
    </w:rPr>
  </w:style>
  <w:style w:type="paragraph" w:styleId="CM112">
    <w:name w:val="CM1+12"/>
    <w:basedOn w:val="Default"/>
    <w:next w:val="Default"/>
    <w:pPr>
      <w:spacing w:lineRule="atLeast" w:line="218"/>
    </w:pPr>
    <w:rPr>
      <w:color w:val="000000"/>
    </w:rPr>
  </w:style>
  <w:style w:type="paragraph" w:styleId="CM211">
    <w:name w:val="CM2+11"/>
    <w:basedOn w:val="Default"/>
    <w:next w:val="Default"/>
    <w:pPr>
      <w:spacing w:lineRule="atLeast" w:line="213"/>
    </w:pPr>
    <w:rPr>
      <w:color w:val="000000"/>
    </w:rPr>
  </w:style>
  <w:style w:type="paragraph" w:styleId="CM56">
    <w:name w:val="CM5+6"/>
    <w:basedOn w:val="Default"/>
    <w:next w:val="Default"/>
    <w:pPr/>
    <w:rPr>
      <w:color w:val="000000"/>
    </w:rPr>
  </w:style>
  <w:style w:type="paragraph" w:styleId="CM48">
    <w:name w:val="CM4+8"/>
    <w:basedOn w:val="Default"/>
    <w:next w:val="Default"/>
    <w:pPr/>
    <w:rPr>
      <w:color w:val="000000"/>
    </w:rPr>
  </w:style>
  <w:style w:type="paragraph" w:styleId="CM113">
    <w:name w:val="CM1+13"/>
    <w:basedOn w:val="Default"/>
    <w:next w:val="Default"/>
    <w:pPr>
      <w:spacing w:lineRule="atLeast" w:line="216"/>
    </w:pPr>
    <w:rPr>
      <w:color w:val="000000"/>
    </w:rPr>
  </w:style>
  <w:style w:type="paragraph" w:styleId="CM212">
    <w:name w:val="CM2+12"/>
    <w:basedOn w:val="Default"/>
    <w:next w:val="Default"/>
    <w:pPr/>
    <w:rPr>
      <w:color w:val="000000"/>
    </w:rPr>
  </w:style>
  <w:style w:type="paragraph" w:styleId="CM312">
    <w:name w:val="CM3+12"/>
    <w:basedOn w:val="Default"/>
    <w:next w:val="Default"/>
    <w:pPr>
      <w:spacing w:lineRule="atLeast" w:line="216"/>
    </w:pPr>
    <w:rPr>
      <w:color w:val="000000"/>
    </w:rPr>
  </w:style>
  <w:style w:type="paragraph" w:styleId="CM57">
    <w:name w:val="CM5+7"/>
    <w:basedOn w:val="Default"/>
    <w:next w:val="Default"/>
    <w:pPr/>
    <w:rPr>
      <w:color w:val="000000"/>
    </w:rPr>
  </w:style>
  <w:style w:type="paragraph" w:styleId="CM49">
    <w:name w:val="CM4+9"/>
    <w:basedOn w:val="Default"/>
    <w:next w:val="Default"/>
    <w:pPr>
      <w:spacing w:lineRule="atLeast" w:line="218"/>
    </w:pPr>
    <w:rPr>
      <w:color w:val="000000"/>
    </w:rPr>
  </w:style>
  <w:style w:type="paragraph" w:styleId="CM114">
    <w:name w:val="CM1+14"/>
    <w:basedOn w:val="Default"/>
    <w:next w:val="Default"/>
    <w:pPr>
      <w:spacing w:lineRule="atLeast" w:line="216"/>
    </w:pPr>
    <w:rPr>
      <w:color w:val="000000"/>
    </w:rPr>
  </w:style>
  <w:style w:type="paragraph" w:styleId="CM213">
    <w:name w:val="CM2+13"/>
    <w:basedOn w:val="Default"/>
    <w:next w:val="Default"/>
    <w:pPr>
      <w:spacing w:lineRule="atLeast" w:line="213"/>
    </w:pPr>
    <w:rPr>
      <w:color w:val="000000"/>
    </w:rPr>
  </w:style>
  <w:style w:type="paragraph" w:styleId="CM313">
    <w:name w:val="CM3+13"/>
    <w:basedOn w:val="Default"/>
    <w:next w:val="Default"/>
    <w:pPr>
      <w:spacing w:lineRule="atLeast" w:line="218"/>
    </w:pPr>
    <w:rPr>
      <w:color w:val="000000"/>
    </w:rPr>
  </w:style>
  <w:style w:type="paragraph" w:styleId="CM115">
    <w:name w:val="CM1+15"/>
    <w:basedOn w:val="Default"/>
    <w:next w:val="Default"/>
    <w:pPr>
      <w:spacing w:lineRule="atLeast" w:line="213"/>
    </w:pPr>
    <w:rPr>
      <w:color w:val="000000"/>
    </w:rPr>
  </w:style>
  <w:style w:type="paragraph" w:styleId="CM214">
    <w:name w:val="CM2+14"/>
    <w:basedOn w:val="Default"/>
    <w:next w:val="Default"/>
    <w:pPr>
      <w:spacing w:lineRule="atLeast" w:line="223"/>
    </w:pPr>
    <w:rPr>
      <w:color w:val="000000"/>
    </w:rPr>
  </w:style>
  <w:style w:type="paragraph" w:styleId="CM314">
    <w:name w:val="CM3+14"/>
    <w:basedOn w:val="Default"/>
    <w:next w:val="Default"/>
    <w:pPr>
      <w:spacing w:lineRule="atLeast" w:line="220"/>
    </w:pPr>
    <w:rPr>
      <w:color w:val="000000"/>
    </w:rPr>
  </w:style>
  <w:style w:type="paragraph" w:styleId="CM410">
    <w:name w:val="CM4+10"/>
    <w:basedOn w:val="Default"/>
    <w:next w:val="Default"/>
    <w:pPr>
      <w:spacing w:lineRule="atLeast" w:line="218"/>
    </w:pPr>
    <w:rPr>
      <w:color w:val="000000"/>
    </w:rPr>
  </w:style>
  <w:style w:type="paragraph" w:styleId="CM58">
    <w:name w:val="CM5+8"/>
    <w:basedOn w:val="Default"/>
    <w:next w:val="Default"/>
    <w:pPr>
      <w:spacing w:lineRule="atLeast" w:line="220"/>
    </w:pPr>
    <w:rPr>
      <w:color w:val="000000"/>
    </w:rPr>
  </w:style>
  <w:style w:type="paragraph" w:styleId="CM65">
    <w:name w:val="CM6+5"/>
    <w:basedOn w:val="Default"/>
    <w:next w:val="Default"/>
    <w:pPr>
      <w:spacing w:lineRule="atLeast" w:line="218"/>
    </w:pPr>
    <w:rPr>
      <w:color w:val="000000"/>
    </w:rPr>
  </w:style>
  <w:style w:type="paragraph" w:styleId="CM116">
    <w:name w:val="CM1+16"/>
    <w:basedOn w:val="Default"/>
    <w:next w:val="Default"/>
    <w:pPr>
      <w:spacing w:lineRule="atLeast" w:line="213"/>
    </w:pPr>
    <w:rPr>
      <w:color w:val="000000"/>
    </w:rPr>
  </w:style>
  <w:style w:type="paragraph" w:styleId="CM215">
    <w:name w:val="CM2+15"/>
    <w:basedOn w:val="Default"/>
    <w:next w:val="Default"/>
    <w:pPr>
      <w:spacing w:lineRule="atLeast" w:line="211"/>
    </w:pPr>
    <w:rPr>
      <w:color w:val="000000"/>
    </w:rPr>
  </w:style>
  <w:style w:type="paragraph" w:styleId="CM315">
    <w:name w:val="CM3+15"/>
    <w:basedOn w:val="Default"/>
    <w:next w:val="Default"/>
    <w:pPr>
      <w:spacing w:lineRule="atLeast" w:line="218"/>
    </w:pPr>
    <w:rPr>
      <w:color w:val="000000"/>
    </w:rPr>
  </w:style>
  <w:style w:type="paragraph" w:styleId="CM117">
    <w:name w:val="CM1+17"/>
    <w:basedOn w:val="Default"/>
    <w:next w:val="Default"/>
    <w:pPr>
      <w:spacing w:lineRule="atLeast" w:line="211"/>
    </w:pPr>
    <w:rPr>
      <w:color w:val="000000"/>
    </w:rPr>
  </w:style>
  <w:style w:type="paragraph" w:styleId="CM3">
    <w:name w:val="CM3"/>
    <w:basedOn w:val="Default"/>
    <w:next w:val="Default"/>
    <w:pPr>
      <w:spacing w:lineRule="atLeast" w:line="218"/>
    </w:pPr>
    <w:rPr>
      <w:color w:val="000000"/>
    </w:rPr>
  </w:style>
  <w:style w:type="paragraph" w:styleId="CM216">
    <w:name w:val="CM2+16"/>
    <w:basedOn w:val="Default"/>
    <w:next w:val="Default"/>
    <w:pPr>
      <w:spacing w:lineRule="atLeast" w:line="213"/>
    </w:pPr>
    <w:rPr>
      <w:color w:val="000000"/>
    </w:rPr>
  </w:style>
  <w:style w:type="paragraph" w:styleId="CM41">
    <w:name w:val="CM4+1"/>
    <w:basedOn w:val="Default"/>
    <w:next w:val="Default"/>
    <w:pPr>
      <w:spacing w:lineRule="atLeast" w:line="213"/>
    </w:pPr>
    <w:rPr>
      <w:color w:val="000000"/>
    </w:rPr>
  </w:style>
  <w:style w:type="paragraph" w:styleId="PlainText">
    <w:name w:val="Plain Text"/>
    <w:basedOn w:val="Normal"/>
    <w:pPr/>
    <w:rPr>
      <w:rFonts w:ascii="Courier New" w:hAnsi="Courier New" w:cs="Courier New"/>
      <w:color w:val="008080"/>
      <w:lang w:val="en-AU"/>
    </w:rPr>
  </w:style>
  <w:style w:type="paragraph" w:styleId="Style8">
    <w:name w:val="Style8"/>
    <w:basedOn w:val="Normal"/>
    <w:pPr>
      <w:widowControl w:val="false"/>
      <w:spacing w:lineRule="exact" w:line="245"/>
      <w:jc w:val="both"/>
    </w:pPr>
    <w:rPr>
      <w:rFonts w:ascii="Century Gothic" w:hAnsi="Century Gothic" w:cs="Century Gothic"/>
      <w:sz w:val="24"/>
      <w:szCs w:val="24"/>
    </w:rPr>
  </w:style>
  <w:style w:type="paragraph" w:styleId="normal1">
    <w:name w:val="normal1"/>
    <w:basedOn w:val="Normal"/>
    <w:pPr>
      <w:spacing w:before="280" w:after="280"/>
    </w:pPr>
    <w:rPr>
      <w:sz w:val="24"/>
      <w:szCs w:val="24"/>
    </w:rPr>
  </w:style>
  <w:style w:type="paragraph" w:styleId="BalloonText">
    <w:name w:val="Balloon Text"/>
    <w:basedOn w:val="Normal"/>
    <w:pPr/>
    <w:rPr>
      <w:rFonts w:ascii="Segoe UI" w:hAnsi="Segoe UI" w:cs="Segoe UI"/>
      <w:sz w:val="18"/>
      <w:szCs w:val="18"/>
      <w:lang w:val="en-US"/>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 w:type="numbering" w:styleId="WW8Num24">
    <w:name w:val="WW8Num24"/>
  </w:style>
  <w:style w:type="numbering" w:styleId="WW8Num25">
    <w:name w:val="WW8Num25"/>
  </w:style>
  <w:style w:type="numbering" w:styleId="WW8Num26">
    <w:name w:val="WW8Num26"/>
  </w:style>
  <w:style w:type="numbering" w:styleId="WW8Num27">
    <w:name w:val="WW8Num27"/>
  </w:style>
  <w:style w:type="numbering" w:styleId="WW8Num28">
    <w:name w:val="WW8Num28"/>
  </w:style>
  <w:style w:type="numbering" w:styleId="WW8Num29">
    <w:name w:val="WW8Num29"/>
  </w:style>
  <w:style w:type="numbering" w:styleId="WW8Num30">
    <w:name w:val="WW8Num30"/>
  </w:style>
  <w:style w:type="numbering" w:styleId="WW8Num31">
    <w:name w:val="WW8Num31"/>
  </w:style>
  <w:style w:type="numbering" w:styleId="WW8Num32">
    <w:name w:val="WW8Num32"/>
  </w:style>
  <w:style w:type="numbering" w:styleId="WW8Num33">
    <w:name w:val="WW8Num33"/>
  </w:style>
  <w:style w:type="numbering" w:styleId="WW8Num34">
    <w:name w:val="WW8Num34"/>
  </w:style>
  <w:style w:type="numbering" w:styleId="WW8Num35">
    <w:name w:val="WW8Num35"/>
  </w:style>
  <w:style w:type="numbering" w:styleId="WW8Num36">
    <w:name w:val="WW8Num36"/>
  </w:style>
  <w:style w:type="numbering" w:styleId="WW8Num37">
    <w:name w:val="WW8Num37"/>
  </w:style>
  <w:style w:type="numbering" w:styleId="WW8Num38">
    <w:name w:val="WW8Num38"/>
  </w:style>
  <w:style w:type="numbering" w:styleId="WW8Num39">
    <w:name w:val="WW8Num39"/>
  </w:style>
  <w:style w:type="numbering" w:styleId="WW8Num40">
    <w:name w:val="WW8Num40"/>
  </w:style>
  <w:style w:type="numbering" w:styleId="WW8Num41">
    <w:name w:val="WW8Num41"/>
  </w:style>
  <w:style w:type="numbering" w:styleId="WW8Num42">
    <w:name w:val="WW8Num42"/>
  </w:style>
  <w:style w:type="numbering" w:styleId="WW8Num43">
    <w:name w:val="WW8Num43"/>
  </w:style>
  <w:style w:type="numbering" w:styleId="WW8Num44">
    <w:name w:val="WW8Num44"/>
  </w:style>
  <w:style w:type="numbering" w:styleId="WW8Num45">
    <w:name w:val="WW8Num45"/>
  </w:style>
  <w:style w:type="numbering" w:styleId="WW8Num46">
    <w:name w:val="WW8Num46"/>
  </w:style>
  <w:style w:type="numbering" w:styleId="WW8Num47">
    <w:name w:val="WW8Num47"/>
  </w:style>
  <w:style w:type="numbering" w:styleId="WW8Num48">
    <w:name w:val="WW8Num48"/>
  </w:style>
  <w:style w:type="numbering" w:styleId="WW8Num49">
    <w:name w:val="WW8Num49"/>
  </w:style>
  <w:style w:type="numbering" w:styleId="WW8Num50">
    <w:name w:val="WW8Num50"/>
  </w:style>
  <w:style w:type="numbering" w:styleId="WW8Num51">
    <w:name w:val="WW8Num51"/>
  </w:style>
  <w:style w:type="numbering" w:styleId="WW8Num52">
    <w:name w:val="WW8Num52"/>
  </w:style>
  <w:style w:type="numbering" w:styleId="WW8Num53">
    <w:name w:val="WW8Num53"/>
  </w:style>
  <w:style w:type="numbering" w:styleId="WW8Num54">
    <w:name w:val="WW8Num54"/>
  </w:style>
  <w:style w:type="numbering" w:styleId="WW8Num55">
    <w:name w:val="WW8Num55"/>
  </w:style>
  <w:style w:type="numbering" w:styleId="WW8Num56">
    <w:name w:val="WW8Num56"/>
  </w:style>
  <w:style w:type="numbering" w:styleId="WW8Num57">
    <w:name w:val="WW8Num57"/>
  </w:style>
  <w:style w:type="numbering" w:styleId="WW8Num58">
    <w:name w:val="WW8Num58"/>
  </w:style>
  <w:style w:type="numbering" w:styleId="WW8Num59">
    <w:name w:val="WW8Num59"/>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wmf"/><Relationship Id="rId4" Type="http://schemas.openxmlformats.org/officeDocument/2006/relationships/image" Target="media/image3.wmf"/><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emf"/><Relationship Id="rId8" Type="http://schemas.openxmlformats.org/officeDocument/2006/relationships/header" Target="header1.xml"/><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0</TotalTime>
  <Application>LibreOffice/26.8.0.3$Linux_AARCH64 LibreOffice_project/680$Build-3</Application>
  <AppVersion>15.0000</AppVersion>
  <Pages>31</Pages>
  <Words>17009</Words>
  <Characters>102089</Characters>
  <CharactersWithSpaces>117734</CharactersWithSpaces>
  <Paragraphs>1016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2024-03-04T10:36:00Z</dcterms:created>
  <dc:creator>Bebe</dc:creator>
  <dc:description/>
  <dc:language>en-US</dc:language>
  <cp:lastModifiedBy/>
  <cp:lastPrinted>2024-03-04T12:41:00Z</cp:lastPrinted>
  <dcterms:modified xsi:type="dcterms:W3CDTF">2026-09-19T01:22:11Z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