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p>
      <w:pPr>
        <w:pStyle w:val="Normal"/>
        <w:keepNext w:val="true"/>
        <w:widowControl/>
        <w:spacing w:before="0" w:after="120"/>
        <w:ind w:hanging="0"/>
        <w:jc w:val="left"/>
        <w:rPr>
          <w:rFonts w:ascii="Arial" w:hAnsi="Arial" w:cs="Arial"/>
          <w:sz w:val="28"/>
        </w:rPr>
      </w:pPr>
      <w:r>
        <w:rPr>
          <w:rFonts w:eastAsia="Arial" w:cs="Arial" w:ascii="Arial" w:hAnsi="Arial"/>
          <w:b/>
          <w:color w:val="auto"/>
          <w:spacing w:val="0"/>
          <w:w w:val="100"/>
          <w:sz w:val="20"/>
          <w:szCs w:val="20"/>
          <w:lang w:val="ro-RO"/>
        </w:rPr>
        <w:t>Persoane implicate în procesul de predare-primire a lucrării de evaluare a riscurilor</w:t>
      </w:r>
    </w:p>
    <w:tbl>
      <w:tblPr>
        <w:tblW w:w="5000" w:type="pct"/>
        <w:jc w:val="left"/>
        <w:tblInd w:w="55" w:type="dxa"/>
        <w:tblLayout w:type="fixed"/>
        <w:tblCellMar>
          <w:top w:w="55" w:type="dxa"/>
          <w:left w:w="55" w:type="dxa"/>
          <w:bottom w:w="55" w:type="dxa"/>
          <w:right w:w="55" w:type="dxa"/>
        </w:tblCellMar>
      </w:tblPr>
      <w:tblGrid>
        <w:gridCol w:w="877"/>
        <w:gridCol w:w="2046"/>
        <w:gridCol w:w="3093"/>
        <w:gridCol w:w="1000"/>
        <w:gridCol w:w="2339"/>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04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Activitate desfășurată</w:t>
            </w:r>
          </w:p>
        </w:tc>
        <w:tc>
          <w:tcPr>
            <w:tcW w:w="3093"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Numele și prenumele</w:t>
            </w:r>
          </w:p>
        </w:tc>
        <w:tc>
          <w:tcPr>
            <w:tcW w:w="100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w:t>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Întocmit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{{specialist.name}} – {{specialist.professionalTitle}}, {{provider.legalName}}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Aprobat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 – {{client.representativeRole}}, {{client.legalName}}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bl>
    <w:p>
      <w:pPr>
        <w:pStyle w:val="Normal"/>
        <w:keepNext w:val="false"/>
        <w:pageBreakBefore w:val="false"/>
        <w:widowControl/>
        <w:numPr>
          <w:ilvl w:val="0"/>
          <w:numId w:val="0"/>
        </w:numPr>
        <w:spacing w:before="24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Evaluarea a fost realizată la data de {{issueDate}}.</w:t>
      </w:r>
    </w:p>
    <w:p>
      <w:pPr>
        <w:pStyle w:val="Normal"/>
        <w:keepNext w:val="true"/>
        <w:pageBreakBefore/>
        <w:widowControl/>
        <w:tabs>
          <w:tab w:val="clear" w:pos="720"/>
          <w:tab w:val="left" w:pos="567" w:leader="none"/>
        </w:tabs>
        <w:spacing w:before="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 INTRODUCERE ÎN SISTEMUL DE EVALUARE D.P.D.V. AL SECURITĂȚII ȘI SĂNĂTĂȚII ÎN MUNCĂ</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 PREZENTAREA METODEI ELABORATE DE I.N.C.D.P.M. BUCUREȘTI PENTRU EVALUAREA RISCURILOR DE ACCIDENTARE ȘI ÎMBOLNĂVIRE PROFESIONALĂ</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 PREMISE TEORETICE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 DESCRIEREA METODEI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II.III. APLICAREA METODEI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III. PREZENTAREA UNITĂȚII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IV. FORMAREA ECHIPELOR (COLECTIVULUI) DE EVALUARE A RISCURILOR DE ACCIDENTARE ȘI/ SAU ÎMBOLNĂVIRE PROFESIONALĂ PENTRU {{client.legalName}}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1. LISTA DE IDENTIFICARE A FACTORILOR DE RISC</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2. LISTA DE CONSECINȚE POSIBILE ALE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3. SCALA DE COTARE A GRAVITĂȚII ȘI PROBABILITĂȚII CONSECINȚELOR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4. GRILA DE EVALUARE A RISCURILOR (COMBINAȚIE ÎNTRE GRAVITATEA CONSECINȚELOR ȘI PROBABILITATEA PRODUCERII LOR)</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5. SCALA DE ÎNCADRARE A NIVELURILOR DE RISC/SECURITATE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6. ORDINEA IERARHICĂ A MĂSURILOR DE PREVENIRE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BIBLIOGRAFIE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V.{{roman}}. EVALUAREA RISCURILOR DE ACCIDENTARE ȘI ÎMBOLNĂVIRE PROFESIONALĂ PENTRU {{heading}}</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VI. CONCLUZII GENERALE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 CONCLUZIILE EVALUĂRII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 RECOMANDĂRI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VI.III. CONSULTAREA LUCRĂTORILOR ȘI REVIZUIREA EVALUĂRII</w:t>
      </w:r>
    </w:p>
    <w:p>
      <w:pPr>
        <w:pStyle w:val="Normal"/>
        <w:keepNext w:val="true"/>
        <w:pageBreakBefor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Acest principiu de evaluare a riscurilor este inclus deja în standardele europene (CEI 812/85,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Obligativitatea evaluării riscurilor la locurile de muncă în țara noastră decurge din legislația actuală în domeniu, care a fost armonizată cu legislația Uniunii Europene privind sănătatea și securitatea în muncă. În Legea 319 / 2006 a securității și sănătății în muncă se prevede la art. 7 al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 iar la art. 12 al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Normele metodologice de aplicare a Legii 319 / 2006 la art. 15 al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„Activitățile de prevenire și protecție ... sunt următoarele: identificarea pericolelor și evaluarea riscurilor pentru fiecare componentă a sistemului de muncă, pe locuri de muncă/posturi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Îndeplinirea efectivă a acestei obligații legale se realizează de către personalul din cadrul serviciului de securitate a muncii, cu sprijinul instituțiilor de specialitate sau a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în Normele metodologice de aplicare a Legii 319/2006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facilitarea îndeplinirii obligațiilor legale ale angajatorilor în domeniul evaluării riscurilor de accidentare și îmbolnăvire profesională au fost concepute și sunt utilizate în prezent un număr relativ mare de metode de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Solidarității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doua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a doua a lucrării este dedicată prezentării modului concret de utilizare a metodei I.N.C.D.P.M. București în vederea evaluării riscurilor de accidentare și îmbolnăvire profesională pentru locurile de muncă din societatea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s-a luat în calcul evenimentele de muncă produse în cadrul societății până la data de {{issueDate}}, ponderea evenimentelor de muncă ce au avut loc în societate, specifica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ÎMBOLNĂVIRE PROFESIONALĂ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18"/>
          <w:szCs w:val="18"/>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 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b w:val="false"/>
          <w:color w:val="auto"/>
          <w:sz w:val="20"/>
          <w:szCs w:val="20"/>
          <w:lang w:val="ro-RO"/>
        </w:rPr>
        <w:t xml:space="preserve">y = 1/x</w: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2104222801"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18"/>
          <w:szCs w:val="18"/>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unim cele trei dreptunghiuri printr-o linie trasată prin vârfurile care nu sunt pe axele de coordonate, obținem o curbă cu alură de hiperbolă, care descrie legătura dintre cele două variabile: gravitate – probabilitate. Pentru reprezentarea riscului funcție de gravitate și probabilitate, standardul CEN-812/ 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consecință,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atribuirea nivelurilor de risc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exista,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sa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analoge, în funcție de natură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punct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Probabilitatea de a acționa într-o anumită manieră generatoare de accident nu poate fi decât aproximată. În alte situații, calculul necesitat de determinarea riguroasă a probabilității de producere a consecinței este atât de elaborios,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trei cazurile ca fiind foarte frecvent.</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acest motiv, dacă utilizăm intervalele precizate în CEI 812/1985, obținem 5 grupe de evenimente, pe care le putem ordona astfel:</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atribuirea nivelurilor de risc, respectiv de securitate s-a utilizat curba de acceptabilitate a riscului.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Mai întâi, deoarece gravitatea este un element mai important din punct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risc → S</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risc → S</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risc → S</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risc → S</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risc → S</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risc → S</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securitate;</w:t>
      </w:r>
    </w:p>
    <w:p>
      <w:pPr>
        <w:pStyle w:val="Normal"/>
        <w:keepNext w:val="false"/>
        <w:pageBreakBefore w:val="false"/>
        <w:widowControl/>
        <w:numPr>
          <w:ilvl w:val="0"/>
          <w:numId w:val="0"/>
        </w:numPr>
        <w:spacing w:before="0" w:after="12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risc → S</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Reprezentând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drawing>
          <wp:anchor distT="0" distB="0" distL="114300" distR="114300" simplePos="0" relativeHeight="16" behindDoc="0" locked="0" layoutInCell="0" allowOverlap="0">
            <wp:simplePos x="0" y="0"/>
            <wp:positionH relativeFrom="column">
              <wp:posOffset>2171700</wp:posOffset>
            </wp:positionH>
            <wp:positionV relativeFrom="paragraph">
              <wp:posOffset>60960</wp:posOffset>
            </wp:positionV>
            <wp:extent cx="2057400" cy="1791970"/>
            <wp:effectExtent l="0" t="0" r="0" b="0"/>
            <wp:wrapTopAndBottom/>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anchor>
        </w:drawing>
      </w:r>
    </w:p>
    <w:p>
      <w:pPr>
        <w:pStyle w:val="BodyT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diagonala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prin cele două puncte astfel stabilite o curbă având alura curbei de acceptabilitate stabilită prin CEN-812/85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curbele pentru nivelurile 2 - 6 paralel la curba de nivel de risc minim acceptabil prin punctele care delimitează segmentele stabilite pe diagonala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 (1,2 ) (1,3 ) (1,4 ) (1,5 ) (1,6 ) (2,1 );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 (2,3 ) (2,4 ) (3,1 ) (3,2 ) (4,1 );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 (2,6 ) (3,3 ) (3,4 ) (4,2 ) (5,1 ) (6,1 ) (7,1 );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 (3,6 ) (4,3 ) (4,4 ) (5,2 ) (5,3 ) (6,2 ) (7,2 );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 (4,6 ) (5,4 ) (5,5 ) (6,3 ) (7,3 );</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 (6,4 ) (6,5 ) (7,4 );</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 (7,5 ) (7,6 ).</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sa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2: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3: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keepNext w:val="tru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 nivelul 4:</w:t>
      </w:r>
    </w:p>
    <w:p>
      <w:pPr>
        <w:pStyle w:val="Normal"/>
        <w:keepNext w:val="false"/>
        <w:pageBreakBefore w:val="false"/>
        <w:widowControl/>
        <w:numPr>
          <w:ilvl w:val="0"/>
          <w:numId w:val="0"/>
        </w:numPr>
        <w:spacing w:before="0" w:after="120"/>
        <w:ind w:hanging="0" w:left="900"/>
        <w:jc w:val="left"/>
        <w:rPr>
          <w:rFonts w:ascii="Arial" w:hAnsi="Arial" w:cs="Arial"/>
          <w:sz w:val="20"/>
          <w:szCs w:val="20"/>
        </w:rPr>
      </w:pP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760537323" r:id="rId12"/>
        </w:object>
      </w:r>
      <w:r>
        <w:rPr>
          <w:rFonts w:eastAsia="Arial" w:cs="Arial" w:ascii="Arial" w:hAnsi="Arial"/>
          <w:b w:val="false"/>
          <w:color w:val="auto"/>
          <w:sz w:val="20"/>
          <w:szCs w:val="20"/>
          <w:lang w:val="ro-RO"/>
        </w:rPr>
        <w:t xml:space="preserve">;</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Autorii metodei elaborate în cadrul I.N.C.D.P.M. București consideră că pentru țara noastră ar fi indicat ca nivelul de risc maxim acceptabil să corespundă nivelului 3,5. Aceasta ar însemna în primul rând ca autorizarea de funcționare a agenților economici din punct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risc/securitate pentru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angajator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keepNext/>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frecvența de producere: o dată la 5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Grila de evaluare a riscurilor</w:t>
      </w:r>
      <w:r>
        <w:rPr>
          <w:rFonts w:eastAsia="Arial" w:cs="Arial" w:ascii="Arial" w:hAnsi="Arial"/>
          <w:color w:val="auto"/>
          <w:spacing w:val="0"/>
          <w:w w:val="100"/>
          <w:sz w:val="20"/>
          <w:szCs w:val="20"/>
          <w:lang w:val="ro-RO"/>
        </w:rPr>
        <w:t xml:space="preserve"> (Anexa 4) este de fapt transpunerea sub formă tabelară a graficului din figura 1.5b prezentată în capitolul precedent. Liniile din tabel sunt liniile claselor de gravitate din grafic, iar coloanele – coloanele claselor de probabilitate. Fiecare căsuță corespunde câte unui punct din grafic, de coordonatele </w:t>
      </w:r>
      <w:r>
        <w:rPr>
          <w:rFonts w:eastAsia="Arial" w:cs="Arial" w:ascii="Arial" w:hAnsi="Arial"/>
          <w:iCs/>
          <w:color w:val="auto"/>
          <w:spacing w:val="0"/>
          <w:w w:val="100"/>
          <w:sz w:val="20"/>
          <w:szCs w:val="20"/>
          <w:lang w:val="ro-RO"/>
        </w:rPr>
        <w:t>g</w:t>
      </w:r>
      <w:r>
        <w:rPr>
          <w:rFonts w:eastAsia="Arial" w:cs="Arial" w:ascii="Arial" w:hAnsi="Arial"/>
          <w:color w:val="auto"/>
          <w:spacing w:val="0"/>
          <w:w w:val="100"/>
          <w:sz w:val="20"/>
          <w:szCs w:val="20"/>
          <w:lang w:val="ro-RO"/>
        </w:rPr>
        <w:t xml:space="preserve">,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Scala cuprinde în fapt cele 7 zone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(capitolul 1),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keepNext/>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(capitolul V, punctul III al fiecărei evaluări) este documentul centralizator al tuturor operațiilor de identificare și evaluare a riscurilor de accidentare și/sau îmbolnăvire profesională. Ca urmare, acest formular cuprinde: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descrierea condițiilor de mediu existente;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(capitolul V, punctul III al fiecărei evaluări),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Rezultatul obținut în urma procedurilor anterioare se identifică în Grila de evaluare a riscurilor (Anexa 4) și se înscrie în Fișa locului de muncă (capitolul V, punctul III al fiecărei evaluări). Cu ajutorul scalei de încadrare a nivelurilor de risc/securitate se determină apoi aceste niveluri pentru fiecare factor de risc în parte. Se obține astfel o ierarhizare a dimensiunii riscurilor la locul de muncă, ceea ce dă posibilitatea stabilirii unei priorități a măsurilor de prevenire și protecție,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 pe loc de muncă se identifică pe Scala de încadrare a nivelurilor de risc/securitate, construită pe principiul invers proporționalității nivelurilor de risc și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(capitolul V, punctul III al fiecărei evaluări).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atelierul/secția/sectorul sau întreprinderea investigată –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stabilirea măsurilor necesare îmbunătățirii nivelului de securitate a sistemului de muncă analizat se impune luarea în considerare a ierarhiei riscurilor evaluate, conform Scalei de încadrare a nivelurilor de risc/securitate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7 dacă se operează cu nivelurile de securitate.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automată a datelor.</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existența unui algoritm de calcul al nivelului de risc;</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keepNext/>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keepNext/>
        <w:widowControl/>
        <w:numPr>
          <w:ilvl w:val="0"/>
          <w:numId w:val="1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și corectă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keepNext w:val="true"/>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Denumirea unității: {{client.legalName}}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Reprezentantul legal: {{client.representativeName}}, {{client.representativeRole}}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Conducerea locurilor de muncă: {{workplaceManagersList}}</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Activitatea principală (clasa CAEN): {{riskAssessment.unit.activity}}</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Numărul total de angajați: {{riskAssessment.unit.employeeCount}}</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Locurile în care se desfășoară activitatea:</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{{kind}} „{{name}}”: {{address}}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Unitatea nu are înregistrat un sediu sau un punct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executanții activităților – funcțiile de încadrare în unitate:</w:t>
      </w:r>
    </w:p>
    <w:tbl>
      <w:tblPr>
        <w:tblW w:w="5000" w:type="pct"/>
        <w:jc w:val="left"/>
        <w:tblInd w:w="55" w:type="dxa"/>
        <w:tblLayout w:type="fixed"/>
        <w:tblCellMar>
          <w:top w:w="55" w:type="dxa"/>
          <w:left w:w="55" w:type="dxa"/>
          <w:bottom w:w="55" w:type="dxa"/>
          <w:right w:w="55" w:type="dxa"/>
        </w:tblCellMar>
      </w:tblPr>
      <w:tblGrid>
        <w:gridCol w:w="701"/>
        <w:gridCol w:w="1871"/>
        <w:gridCol w:w="2339"/>
        <w:gridCol w:w="4444"/>
      </w:tblGrid>
      <w:tr>
        <w:trPr>
          <w:tblHeader w:val="true"/>
        </w:trPr>
        <w:tc>
          <w:tcPr>
            <w:tcW w:w="70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 de muncă</w:t>
            </w:r>
          </w:p>
        </w:tc>
        <w:tc>
          <w:tcPr>
            <w:tcW w:w="23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 de lucru</w:t>
            </w:r>
          </w:p>
        </w:tc>
        <w:tc>
          <w:tcPr>
            <w:tcW w:w="4444"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Activități propriu-zise desfășurate</w:t>
            </w:r>
          </w:p>
        </w:tc>
      </w:tr>
      <w:tr>
        <w:trPr/>
        <w:tc>
          <w:tcPr>
            <w:tcW w:w="70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{{#positions}}{{$index}}.</w:t>
            </w:r>
          </w:p>
        </w:tc>
        <w:tc>
          <w:tcPr>
            <w:tcW w:w="1871"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233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4444"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{{activities}}{{/positions}}</w:t>
            </w:r>
          </w:p>
        </w:tc>
      </w:tr>
    </w:tbl>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keepNext w:val="fals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Luând în considerare ca evaluarea de risc de accidentare și îmbolnăvire profesională la {{client.legalName}} este un proces de analiză ce are ca scop îmbunătățirea continuă a condițiilor de muncă, echipa de evaluare a riscului trebuie privită ca un colectiv care desfășoară o activitate semipermanentă ale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pe care o evaluare obiectivă și actualizată periodic contribuie în mod cert la creșterea performanțelor productive ale angajaților, eficiența proceselor de muncă și asigurarea creșterii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Normal"/>
        <w:keepNext w:val="true"/>
        <w:pageBreakBefore w:val="false"/>
        <w:widowControl/>
        <w:numPr>
          <w:ilvl w:val="0"/>
          <w:numId w:val="0"/>
        </w:numPr>
        <w:spacing w:before="0" w:after="120"/>
        <w:ind w:hanging="0" w:left="0"/>
        <w:jc w:val="left"/>
        <w:rPr>
          <w:rFonts w:ascii="Arial" w:hAnsi="Arial" w:cs="Arial"/>
          <w:b w:val="false"/>
          <w:sz w:val="18"/>
          <w:szCs w:val="18"/>
        </w:rPr>
      </w:pPr>
      <w:r>
        <w:rPr>
          <w:rFonts w:eastAsia="Arial" w:cs="Arial" w:ascii="Arial" w:hAnsi="Arial"/>
          <w:b w:val="false"/>
          <w:i w:val="false"/>
          <w:color w:val="auto"/>
          <w:spacing w:val="0"/>
          <w:w w:val="100"/>
          <w:sz w:val="20"/>
          <w:szCs w:val="20"/>
          <w:lang w:val="ro-RO"/>
        </w:rPr>
        <w:t>Prin decizia privind echipa de evaluare a riscurilor s-a stabilit echipa de evaluare pentru {{client.legalName}}, alcătuită din:</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{{name}} – {{jobTitle}},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val="false"/>
          <w:color w:val="auto"/>
          <w:sz w:val="20"/>
          <w:szCs w:val="20"/>
          <w:lang w:val="ro-RO"/>
        </w:rPr>
        <w:t xml:space="preserve">{{specialist.name}} – {{specialist.professionalTitle}}, {{provider.legalName}}</w:t>
      </w:r>
    </w:p>
    <w:p>
      <w:pPr>
        <w:pStyle w:val="Title"/>
        <w:widowControl/>
        <w:spacing w:before="12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se va stabili necesitatea întocmirii unor noi proceduri, s-au stabilit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fiecare loc de muncă, respectiv, post de lucru în parte, determinarea (cuantificarea) cantitativă a nivelului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metodă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Procedura de lucru a metodei de evaluare prin analiză sistematică cuprinde, pe lângă etapele propriu-zise și alte activități (valabile pentru fiecare loc de muncă /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color w:val="auto"/>
          <w:sz w:val="20"/>
          <w:szCs w:val="20"/>
          <w:lang w:val="ro-RO"/>
        </w:rPr>
        <w:t xml:space="preserve">A. EXECUTANT</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ACȚIUNI GREȘITE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Executare defectuoasă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Comenzi;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Manevre;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Poziționări, fixări, asamblări;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Reglaje;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Utilizare greșită a mijloacelor de protecție etc.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Nesincronizări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Întârzieri;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Devansări.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Efectuare de operații neprevăzute prin sarcina de muncă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Pornirea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întreruperea funcționării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alimentarea sau oprirea alimentării cu energie (curent electric, fluide energetice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staționări în zone periculoase;</w:t>
      </w:r>
    </w:p>
    <w:p>
      <w:pPr>
        <w:pStyle w:val="Normal"/>
        <w:keepNext w:val="tru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cu pericol de cădere: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același nivel: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împiedicare;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înălțime: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pășire în gol;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alunecare.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Comunicări accidentogene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OMISIUNI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Omiterea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Neutilizarea mijloacelor de protecție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B. SARCINA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CONȚINUT NECORESPUNZĂTOR AL SARCINII DE MUNCĂ ÎN RAPORT CU CERINȚELE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Operații, reguli, procedee greșite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Absența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Metode de muncă necorespunzătoare (succesiune greșită a operațiilor)</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SARCINA SUB/ SUPRADIMENSIONATĂ ÎN RAPORT CU CAPACITATEA EXECUTANTULUI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Solicitare fizică: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static;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poziții de lucru forțate sau vicioase;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dinamic.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Solicitare psihică: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ritm de muncă mare;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decizii dificile în timp scurt;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operații repetitive de ciclu scurt sau extrem de complex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monotonia muncii.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C. MIJLOACE DE PRODUCȚIE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MECANIC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Mișcări periculoase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Mișcări funcționale ale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organe de mașini în mișcare;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curgeri de fluide;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ale mijloacelor de transport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Autodeclanșări sau autoblocări contraindicate ale mișcărilor funcționale ale echipamentelor tehnice sau ale fluidelor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Deplasări sub efectul gravitației: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rostogolire;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rulare pe roți;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răsturnare;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cădere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scurgere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deversare;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surpare, prăbușire;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scufundare.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Deplasări sub efectul propulsiei: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proiectare de corpuri sau particule;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deviere de la traiectoria normală;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balans;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recul;</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șocuri excesive;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jet, erupție.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Suprafețe sau contururi periculoase: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înțepătoare;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tăioase;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abrasive;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adezive.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Recipiente sub presiune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Vibrații excesive ale echipamentelor tehnice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TERMIC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Temperatura ridicată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Temperatura coborâtă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2.3. Flăcări, flame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ELECTRIC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Curentul electric: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indirectă;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tensiune de pas.</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4.1. Substanțe toxice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4.2. Substanțe caustice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4.3. Substanțe inflamabile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4.4. Substanțe explozive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4.5. Substanțe cancerigene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4.6. Substanțe radioactive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4.7. Substanțe mutagene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5.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5.1. Culturi sau preparate cu microorganisme: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5.2. Plante periculoase (exemplu: ciuperci otrăvitoare)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5.3. Animale periculoase (exemplu: șerpi veninoși)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D. MEDIUL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FIZIC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Temperatura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Umiditatea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Curenți de aer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Presiunea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1.5. Aeroionizarea aerului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1.6. Suprapresiune în adâncimea apelor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1.7. Zgomot</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1.8. Ultrasunete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1.9. Vibrații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1.10. Iluminat: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nivel de iluminare scăzut;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strălucire;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pâlpâire.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Radiații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1.11.1. Electromagnetice: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infraroșii;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ultraviolete;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microunde;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înaltă;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medie;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joasă;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laser.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1.11.2. Ionizante: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alfa;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beta;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gama.</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Potențial electrostatic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Calamități naturale (trăsnet, inundație, vânt, grindină, viscol, alunecări, surpări, prăbușiri de teren sau copaci, avalanșe, seisme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Pulberi pneumoconiogene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Gaze, vapori, aerosoli toxici sau caustici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Pulberi în suspensie în aer, gaze sau vapori inflamabili sau explozivi</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Microorganisme în suspensie în aer:</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 etc.</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CARACTERUL SPECIAL AL MEDIULUI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subteran;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mlăștinos;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aerian;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cosmic etc.</w:t>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Nr.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POSIBILE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cantSplit/>
          <w:tblHeader w:val="true"/>
          <w:trHeight w:val="196" w:hRule="atLeas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cantSplit/>
          <w:tblHeader w:val="true"/>
          <w:trHeight w:val="168"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cantSplit/>
          <w:tblHeader w:val="true"/>
          <w:trHeight w:val="14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cantSplit/>
          <w:tblHeader w:val="true"/>
          <w:trHeight w:val="56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Coapsă</w:t>
            </w:r>
          </w:p>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cantSplit/>
          <w:tblHeader w:val="true"/>
          <w:trHeight w:val="62" w:hRule="atLeas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cantSplit/>
          <w:tblHeader w:val="true"/>
          <w:trHeight w:val="257" w:hRule="atLeas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cantSplit/>
          <w:trHeight w:val="14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7"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17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Leziuni ale organ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Cataracta</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Conjuctivite și keratoconjunctivite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Afecțiuni psihice / Stres</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între 45 – 180 zile care necesită tratament medical și prin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1"/>
        <w:gridCol w:w="896"/>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exac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1"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900"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1"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1"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1"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6"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1"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6"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1"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6"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1"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6"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1"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6"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1"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6"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1"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6"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ÎNCADRARE A NIVELURILOR DE RISC/SECURITATE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5080"/>
        <w:gridCol w:w="875"/>
        <w:gridCol w:w="1289"/>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5080"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4"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5080"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5"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5080"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5080"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5080"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5080"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5"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PRIMARE (măsuri de ordinul întâi) – ELIMINAREA RISCURILOR: </w:t>
      </w:r>
      <w:r>
        <w:rPr>
          <w:rFonts w:eastAsia="Arial" w:cs="Arial" w:ascii="Arial" w:hAnsi="Arial"/>
          <w:b w:val="false"/>
          <w:color w:val="auto"/>
          <w:sz w:val="20"/>
          <w:szCs w:val="20"/>
          <w:lang w:val="ro-RO"/>
        </w:rPr>
        <w:t xml:space="preserve">măsurile trebuie să acționeze direct asupra sursei de factori de risc (prevenire intrinsecă).</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SECUNDARE (măsuri de ordinul doi) – IZOLAREA RISCURILOR: </w:t>
      </w:r>
      <w:r>
        <w:rPr>
          <w:rFonts w:eastAsia="Arial" w:cs="Arial" w:ascii="Arial" w:hAnsi="Arial"/>
          <w:b w:val="false"/>
          <w:color w:val="auto"/>
          <w:sz w:val="20"/>
          <w:szCs w:val="20"/>
          <w:lang w:val="ro-RO"/>
        </w:rPr>
        <w:t xml:space="preserve">factorii de risc persistă, dar prin măsuri de protecție colectivă se evită sau diminuează acțiunea lor asupra omului.</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TERȚIARE (măsuri de ordinul trei) – EVITAREA RISCURILOR: </w:t>
      </w:r>
      <w:r>
        <w:rPr>
          <w:rFonts w:eastAsia="Arial" w:cs="Arial" w:ascii="Arial" w:hAnsi="Arial"/>
          <w:b w:val="false"/>
          <w:color w:val="auto"/>
          <w:sz w:val="20"/>
          <w:szCs w:val="20"/>
          <w:lang w:val="ro-RO"/>
        </w:rPr>
        <w:t xml:space="preserve">interacțiunea dintre factorii de risc și om se evită prin măsuri organizatorice și reglementări privind comportamentul.</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CUATERNARE (măsuri de ordinul patru) – IZOLAREA OMULUI: </w:t>
      </w:r>
      <w:r>
        <w:rPr>
          <w:rFonts w:eastAsia="Arial" w:cs="Arial" w:ascii="Arial" w:hAnsi="Arial"/>
          <w:b w:val="false"/>
          <w:color w:val="auto"/>
          <w:sz w:val="20"/>
          <w:szCs w:val="20"/>
          <w:lang w:val="ro-RO"/>
        </w:rPr>
        <w:t xml:space="preserve">limitarea acțiunii factorilor de risc se face prin protecție individuală.</w:t>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 xml:space="preserve">Darabont, Al., Darabont, D., Constantin, G., Darabont, D., </w:t>
      </w:r>
      <w:r>
        <w:rPr>
          <w:rFonts w:eastAsia="Arial" w:cs="Arial" w:ascii="Arial" w:hAnsi="Arial"/>
          <w:i/>
          <w:color w:val="auto"/>
          <w:spacing w:val="0"/>
          <w:w w:val="100"/>
          <w:sz w:val="20"/>
          <w:szCs w:val="20"/>
          <w:lang w:val="ro-RO"/>
        </w:rPr>
        <w:t xml:space="preserve">Evaluarea calității de securitate a echipamentelor tehnice, </w:t>
      </w:r>
      <w:r>
        <w:rPr>
          <w:rFonts w:eastAsia="Arial" w:cs="Arial" w:ascii="Arial" w:hAnsi="Arial"/>
          <w:color w:val="auto"/>
          <w:spacing w:val="0"/>
          <w:w w:val="100"/>
          <w:sz w:val="20"/>
          <w:szCs w:val="20"/>
          <w:lang w:val="ro-RO"/>
        </w:rPr>
        <w:t>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6"/>
        </w:numPr>
        <w:spacing w:before="0" w:after="40"/>
        <w:jc w:val="left"/>
        <w:rPr>
          <w:rFonts w:ascii="Arial" w:hAnsi="Arial" w:cs="Arial"/>
          <w:b w:val="false"/>
          <w:spacing w:val="-4"/>
          <w:sz w:val="18"/>
          <w:szCs w:val="18"/>
          <w:lang w:val="ro-RO"/>
        </w:rPr>
      </w:pPr>
      <w:r>
        <w:rPr>
          <w:rFonts w:eastAsia="Arial" w:cs="Arial" w:ascii="Arial" w:hAnsi="Arial"/>
          <w:color w:val="auto"/>
          <w:spacing w:val="0"/>
          <w:w w:val="100"/>
          <w:sz w:val="20"/>
          <w:szCs w:val="20"/>
          <w:lang w:val="ro-RO"/>
        </w:rPr>
        <w:t>Legea nr. 319 /2006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w:t>
      </w:r>
    </w:p>
    <w:p>
      <w:pPr>
        <w:pStyle w:val="Normal"/>
        <w:widowControl/>
        <w:numPr>
          <w:ilvl w:val="0"/>
          <w:numId w:val="16"/>
        </w:numPr>
        <w:shd w:val="clear" w:color="auto" w:fill="FFFFFF"/>
        <w:spacing w:before="0" w:after="40"/>
        <w:jc w:val="left"/>
        <w:rPr>
          <w:rFonts w:ascii="Arial" w:hAnsi="Arial" w:cs="Arial"/>
          <w:b/>
          <w:sz w:val="18"/>
          <w:szCs w:val="18"/>
        </w:rPr>
      </w:pPr>
      <w:r>
        <w:rPr>
          <w:rFonts w:eastAsia="Arial" w:cs="Arial" w:ascii="Arial" w:hAnsi="Arial"/>
          <w:b/>
          <w:color w:val="auto"/>
          <w:spacing w:val="0"/>
          <w:w w:val="100"/>
          <w:sz w:val="20"/>
          <w:szCs w:val="20"/>
          <w:lang w:val="ro-RO"/>
        </w:rPr>
        <w:t>H.G. 1425</w:t>
      </w:r>
      <w:r>
        <w:rPr>
          <w:rFonts w:eastAsia="Arial" w:cs="Arial" w:ascii="Arial" w:hAnsi="Arial"/>
          <w:b/>
          <w:bCs/>
          <w:color w:val="auto"/>
          <w:spacing w:val="0"/>
          <w:w w:val="100"/>
          <w:sz w:val="20"/>
          <w:szCs w:val="20"/>
          <w:lang w:val="ro-RO"/>
        </w:rPr>
        <w:t>/ 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privind aprobarea Normelor Metodologice de aplicare a Legii nr. 319/ 2006</w:t>
      </w:r>
    </w:p>
    <w:p>
      <w:pPr>
        <w:pStyle w:val="Normal"/>
        <w:widowControl/>
        <w:numPr>
          <w:ilvl w:val="0"/>
          <w:numId w:val="16"/>
        </w:numPr>
        <w:shd w:val="clear" w:color="auto" w:fill="FFFFFF"/>
        <w:spacing w:before="0" w:after="40"/>
        <w:jc w:val="left"/>
        <w:rPr>
          <w:rFonts w:ascii="Arial" w:hAnsi="Arial" w:cs="Arial"/>
          <w:bCs/>
          <w:sz w:val="18"/>
          <w:szCs w:val="18"/>
        </w:rPr>
      </w:pPr>
      <w:r>
        <w:rPr>
          <w:rFonts w:eastAsia="Arial" w:cs="Arial" w:ascii="Arial" w:hAnsi="Arial"/>
          <w:b/>
          <w:color w:val="auto"/>
          <w:spacing w:val="0"/>
          <w:w w:val="100"/>
          <w:sz w:val="20"/>
          <w:szCs w:val="20"/>
          <w:lang w:val="ro-RO"/>
        </w:rPr>
        <w:t xml:space="preserve">H.G.259/2022 </w:t>
      </w:r>
      <w:r>
        <w:rPr>
          <w:rFonts w:eastAsia="Arial" w:cs="Arial" w:ascii="Arial" w:hAnsi="Arial"/>
          <w:bCs/>
          <w:color w:val="auto"/>
          <w:spacing w:val="0"/>
          <w:w w:val="100"/>
          <w:sz w:val="20"/>
          <w:szCs w:val="20"/>
          <w:lang w:val="ro-RO"/>
        </w:rPr>
        <w:t>pentru modificarea și completarea Normelor metodologice de aplicare a prevederilor Legii securității și sănătății în muncă nr. 319/2006, aprobate prin Hotărârea Guvernului nr. 1.425/2006</w:t>
      </w:r>
      <w:r>
        <w:rPr>
          <w:rFonts w:eastAsia="Arial" w:cs="Arial" w:ascii="Arial" w:hAnsi="Arial"/>
          <w:bCs/>
          <w:i/>
          <w:color w:val="auto"/>
          <w:spacing w:val="0"/>
          <w:w w:val="100"/>
          <w:sz w:val="20"/>
          <w:szCs w:val="20"/>
          <w:lang w:val="ro-RO"/>
        </w:rPr>
        <w:t>.</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r>
        <w:br w:type="page"/>
      </w:r>
    </w:p>
    <w:p>
      <w:pPr>
        <w:pStyle w:val="Normal"/>
        <w:keepNext w:val="tru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pageBreakBefore w:val="fals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SUBCAPITOLUL V.{{roman}}. EVALUAREA RISCURILOR DE ACCIDENTARE ȘI ÎMBOLNĂVIRE PROFESIONALĂ PENTRU {{heading}}</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 DEFINIREA LOCULUI DE MUNCĂ, ANALIZA PROCESULUI DE MUNCĂ ȘI DETERMINAREA ELEMENTELOR COMPONENTE ALE SISTEMULUI DE MUNCĂ EVALUAT</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Punctele de referință ale evaluării riscurilor de accidentare și îmbolnăvire profesională sunt sarcina de muncă, mediul de muncă și condițiile de interacțiune cu mijloacele de producție. Componentele sistemului de muncă evaluat sunt: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Executant: </w:t>
      </w:r>
      <w:r>
        <w:rPr>
          <w:rFonts w:eastAsia="Arial" w:cs="Arial" w:ascii="Arial" w:hAnsi="Arial"/>
          <w:b w:val="false"/>
          <w:color w:val="auto"/>
          <w:sz w:val="20"/>
          <w:szCs w:val="20"/>
          <w:lang w:val="ro-RO"/>
        </w:rPr>
        <w:t xml:space="preserve">{{workSystem.executant}}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Sarcina de muncă: </w:t>
      </w:r>
      <w:r>
        <w:rPr>
          <w:rFonts w:eastAsia="Arial" w:cs="Arial" w:ascii="Arial" w:hAnsi="Arial"/>
          <w:b w:val="false"/>
          <w:color w:val="auto"/>
          <w:sz w:val="20"/>
          <w:szCs w:val="20"/>
          <w:lang w:val="ro-RO"/>
        </w:rPr>
        <w:t xml:space="preserve">{{workSystem.workTask}}</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Mijloacele de producție: </w:t>
      </w:r>
      <w:r>
        <w:rPr>
          <w:rFonts w:eastAsia="Arial" w:cs="Arial" w:ascii="Arial" w:hAnsi="Arial"/>
          <w:b w:val="false"/>
          <w:color w:val="auto"/>
          <w:sz w:val="20"/>
          <w:szCs w:val="20"/>
          <w:lang w:val="ro-RO"/>
        </w:rPr>
        <w:t xml:space="preserve">{{workSystem.meansOfProduction}}</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color w:val="auto"/>
          <w:sz w:val="20"/>
          <w:szCs w:val="20"/>
          <w:lang w:val="ro-RO"/>
        </w:rPr>
        <w:t xml:space="preserve">Mediul de muncă: </w:t>
      </w:r>
      <w:r>
        <w:rPr>
          <w:rFonts w:eastAsia="Arial" w:cs="Arial" w:ascii="Arial" w:hAnsi="Arial"/>
          <w:b w:val="false"/>
          <w:color w:val="auto"/>
          <w:sz w:val="20"/>
          <w:szCs w:val="20"/>
          <w:lang w:val="ro-RO"/>
        </w:rPr>
        <w:t xml:space="preserve">{{workSystem.workEnvironment}}</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 IDENTIFICAREA FACTORILOR DE RISC SPECIFICI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{{$index}}.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Nu au fost identificați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tru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{{letter}}) {{name}}: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40"/>
        <w:ind w:hanging="0" w:left="72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III. FIȘA DE EVALUARE A RISCURILOR DE ACCIDENTARE ȘI/SAU ÎMBOLNĂVIRE PROFESIONALĂ</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Unitatea: </w:t>
      </w:r>
      <w:r>
        <w:rPr>
          <w:rFonts w:eastAsia="Arial" w:cs="Arial" w:ascii="Arial" w:hAnsi="Arial"/>
          <w:b w:val="false"/>
          <w:color w:val="auto"/>
          <w:sz w:val="20"/>
          <w:szCs w:val="20"/>
          <w:lang w:val="ro-RO"/>
        </w:rPr>
        <w:t xml:space="preserve">{{client.legalName}}</w:t>
      </w:r>
      <w:r>
        <w:br/>
      </w:r>
      <w:r>
        <w:rPr>
          <w:rFonts w:eastAsia="Arial" w:cs="Arial" w:ascii="Arial" w:hAnsi="Arial"/>
          <w:b/>
          <w:color w:val="auto"/>
          <w:sz w:val="20"/>
          <w:szCs w:val="20"/>
          <w:lang w:val="ro-RO"/>
        </w:rPr>
        <w:t xml:space="preserve">Locul de muncă: </w:t>
      </w:r>
      <w:r>
        <w:rPr>
          <w:rFonts w:eastAsia="Arial" w:cs="Arial" w:ascii="Arial" w:hAnsi="Arial"/>
          <w:b w:val="false"/>
          <w:color w:val="auto"/>
          <w:sz w:val="20"/>
          <w:szCs w:val="20"/>
          <w:lang w:val="ro-RO"/>
        </w:rPr>
        <w:t xml:space="preserve">{{workZoneOrDash}}</w:t>
      </w:r>
      <w:r>
        <w:br/>
      </w:r>
      <w:r>
        <w:rPr>
          <w:rFonts w:eastAsia="Arial" w:cs="Arial" w:ascii="Arial" w:hAnsi="Arial"/>
          <w:b/>
          <w:color w:val="auto"/>
          <w:sz w:val="20"/>
          <w:szCs w:val="20"/>
          <w:lang w:val="ro-RO"/>
        </w:rPr>
        <w:t xml:space="preserve">Postul de lucru: </w:t>
      </w:r>
      <w:r>
        <w:rPr>
          <w:rFonts w:eastAsia="Arial" w:cs="Arial" w:ascii="Arial" w:hAnsi="Arial"/>
          <w:b w:val="false"/>
          <w:color w:val="auto"/>
          <w:sz w:val="20"/>
          <w:szCs w:val="20"/>
          <w:lang w:val="ro-RO"/>
        </w:rPr>
        <w:t xml:space="preserve">{{name}}</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Număr persoane expuse: </w:t>
      </w:r>
      <w:r>
        <w:rPr>
          <w:rFonts w:eastAsia="Arial" w:cs="Arial" w:ascii="Arial" w:hAnsi="Arial"/>
          <w:b w:val="false"/>
          <w:color w:val="auto"/>
          <w:sz w:val="20"/>
          <w:szCs w:val="20"/>
          <w:lang w:val="ro-RO"/>
        </w:rPr>
        <w:t xml:space="preserve">{{exposedPersons}}</w:t>
      </w:r>
      <w:r>
        <w:br/>
      </w:r>
      <w:r>
        <w:rPr>
          <w:rFonts w:eastAsia="Arial" w:cs="Arial" w:ascii="Arial" w:hAnsi="Arial"/>
          <w:b/>
          <w:color w:val="auto"/>
          <w:sz w:val="20"/>
          <w:szCs w:val="20"/>
          <w:lang w:val="ro-RO"/>
        </w:rPr>
        <w:t xml:space="preserve">Durata expunerii: </w:t>
      </w:r>
      <w:r>
        <w:rPr>
          <w:rFonts w:eastAsia="Arial" w:cs="Arial" w:ascii="Arial" w:hAnsi="Arial"/>
          <w:b w:val="false"/>
          <w:color w:val="auto"/>
          <w:sz w:val="20"/>
          <w:szCs w:val="20"/>
          <w:lang w:val="ro-RO"/>
        </w:rPr>
        <w:t xml:space="preserve">{{exposure}}</w:t>
      </w:r>
      <w:r>
        <w:br/>
      </w:r>
      <w:r>
        <w:rPr>
          <w:rFonts w:eastAsia="Arial" w:cs="Arial" w:ascii="Arial" w:hAnsi="Arial"/>
          <w:b/>
          <w:color w:val="auto"/>
          <w:sz w:val="20"/>
          <w:szCs w:val="20"/>
          <w:lang w:val="ro-RO"/>
        </w:rPr>
        <w:t xml:space="preserve">Echipa de evaluare: </w:t>
      </w:r>
      <w:r>
        <w:rPr>
          <w:rFonts w:eastAsia="Arial" w:cs="Arial" w:ascii="Arial" w:hAnsi="Arial"/>
          <w:b w:val="false"/>
          <w:color w:val="auto"/>
          <w:sz w:val="20"/>
          <w:szCs w:val="20"/>
          <w:lang w:val="ro-RO"/>
        </w:rPr>
        <w:t xml:space="preserve">{{#evaluationTeam}}{{name}} ({{jobTitle}}), {{/evaluationTeam}}{{specialist.name}} ({{specialist.professionalTitle}})</w:t>
      </w:r>
    </w:p>
    <w:tbl>
      <w:tblPr>
        <w:tblW w:w="5000" w:type="pct"/>
        <w:jc w:val="left"/>
        <w:tblInd w:w="55" w:type="dxa"/>
        <w:tblLayout w:type="fixed"/>
        <w:tblCellMar>
          <w:top w:w="55" w:type="dxa"/>
          <w:left w:w="55" w:type="dxa"/>
          <w:bottom w:w="55" w:type="dxa"/>
          <w:right w:w="55" w:type="dxa"/>
        </w:tblCellMar>
      </w:tblPr>
      <w:tblGrid>
        <w:gridCol w:w="1368"/>
        <w:gridCol w:w="1484"/>
        <w:gridCol w:w="2852"/>
        <w:gridCol w:w="1141"/>
        <w:gridCol w:w="855"/>
        <w:gridCol w:w="913"/>
        <w:gridCol w:w="742"/>
      </w:tblGrid>
      <w:tr>
        <w:trPr>
          <w:tblHeader w:val="true"/>
          <w:cantSplit/>
        </w:trPr>
        <w:tc>
          <w:tcPr>
            <w:tcW w:w="136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Componenta sistemului de muncă</w:t>
            </w:r>
          </w:p>
        </w:tc>
        <w:tc>
          <w:tcPr>
            <w:tcW w:w="148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Factori de risc identificați</w:t>
            </w:r>
          </w:p>
        </w:tc>
        <w:tc>
          <w:tcPr>
            <w:tcW w:w="285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Forma concretă de manifestare a factorilor de risc (descriere, parametri)</w:t>
            </w:r>
          </w:p>
        </w:tc>
        <w:tc>
          <w:tcPr>
            <w:tcW w:w="114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Consecința maximă previzibilă</w:t>
            </w:r>
          </w:p>
        </w:tc>
        <w:tc>
          <w:tcPr>
            <w:tcW w:w="85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gravitate</w:t>
            </w:r>
          </w:p>
        </w:tc>
        <w:tc>
          <w:tcPr>
            <w:tcW w:w="91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probabi-litate</w:t>
            </w:r>
          </w:p>
        </w:tc>
        <w:tc>
          <w:tcPr>
            <w:tcW w:w="7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Nivel de risc</w:t>
            </w:r>
          </w:p>
        </w:tc>
      </w:tr>
      <w:tr>
        <w:trPr>
          <w:cantSplit/>
        </w:trPr>
        <w:tc>
          <w:tcPr>
            <w:tcW w:w="136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{{#sheet}}{{component}}</w:t>
            </w:r>
          </w:p>
        </w:tc>
        <w:tc>
          <w:tcPr>
            <w:tcW w:w="148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{{group}}</w:t>
            </w:r>
          </w:p>
        </w:tc>
        <w:tc>
          <w:tcPr>
            <w:tcW w:w="285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{{code}}. {{description}}</w:t>
            </w:r>
          </w:p>
        </w:tc>
        <w:tc>
          <w:tcPr>
            <w:tcW w:w="114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{{consequence}}</w:t>
            </w:r>
          </w:p>
        </w:tc>
        <w:tc>
          <w:tcPr>
            <w:tcW w:w="85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{{gravityClass}}</w:t>
            </w:r>
          </w:p>
        </w:tc>
        <w:tc>
          <w:tcPr>
            <w:tcW w:w="91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{{probabilityClass}}</w:t>
            </w:r>
          </w:p>
        </w:tc>
        <w:tc>
          <w:tcPr>
            <w:tcW w:w="7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{{level}}{{/sheet}}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IV. FIȘA DE MĂSURI PROPUSE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Niciunul dintre factorii de risc identificați nu depășește nivelul de risc 3, astfel încât fișa nu cuprinde factori de risc din domeniul inacceptabil.</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tbl>
      <w:tblPr>
        <w:tblW w:w="5000" w:type="pct"/>
        <w:jc w:val="left"/>
        <w:tblInd w:w="55" w:type="dxa"/>
        <w:tblLayout w:type="fixed"/>
        <w:tblCellMar>
          <w:top w:w="55" w:type="dxa"/>
          <w:left w:w="55" w:type="dxa"/>
          <w:bottom w:w="55" w:type="dxa"/>
          <w:right w:w="55" w:type="dxa"/>
        </w:tblCellMar>
      </w:tblPr>
      <w:tblGrid>
        <w:gridCol w:w="719"/>
        <w:gridCol w:w="3358"/>
        <w:gridCol w:w="960"/>
        <w:gridCol w:w="4318"/>
      </w:tblGrid>
      <w:tr>
        <w:trPr>
          <w:tblHeader w:val="true"/>
          <w:cantSplit/>
        </w:trPr>
        <w:tc>
          <w:tcPr>
            <w:tcW w:w="71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35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Factorul de risc</w:t>
            </w:r>
          </w:p>
        </w:tc>
        <w:tc>
          <w:tcPr>
            <w:tcW w:w="9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c>
          <w:tcPr>
            <w:tcW w:w="4318"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Măsuri propuse (nominalizarea măsurii)</w:t>
            </w:r>
          </w:p>
        </w:tc>
      </w:tr>
      <w:tr>
        <w:trPr>
          <w:cantSplit/>
        </w:trPr>
        <w:tc>
          <w:tcPr>
            <w:tcW w:w="7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{{#plan}}{{$index}}.</w:t>
            </w:r>
          </w:p>
        </w:tc>
        <w:tc>
          <w:tcPr>
            <w:tcW w:w="335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 {{description}}</w:t>
            </w:r>
          </w:p>
        </w:tc>
        <w:tc>
          <w:tcPr>
            <w:tcW w:w="96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w:t>
            </w:r>
          </w:p>
        </w:tc>
        <w:tc>
          <w:tcPr>
            <w:tcW w:w="431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{{measures}}{{/plan}}</w:t>
            </w:r>
          </w:p>
        </w:tc>
      </w:tr>
    </w:tbl>
    <w:p>
      <w:pPr>
        <w:pStyle w:val="Normal"/>
        <w:keepNext w:val="false"/>
        <w:pageBreakBefore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 INTERPRETAREA REZULTATELOR EVALUĂRII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V.1. Ierarhizarea riscurilor evaluate</w:t>
      </w:r>
    </w:p>
    <w:tbl>
      <w:tblPr>
        <w:tblW w:w="5000" w:type="pct"/>
        <w:jc w:val="left"/>
        <w:tblInd w:w="55" w:type="dxa"/>
        <w:tblLayout w:type="fixed"/>
        <w:tblCellMar>
          <w:top w:w="55" w:type="dxa"/>
          <w:left w:w="55" w:type="dxa"/>
          <w:bottom w:w="55" w:type="dxa"/>
          <w:right w:w="55" w:type="dxa"/>
        </w:tblCellMar>
      </w:tblPr>
      <w:tblGrid>
        <w:gridCol w:w="810"/>
        <w:gridCol w:w="974"/>
        <w:gridCol w:w="6489"/>
        <w:gridCol w:w="1082"/>
      </w:tblGrid>
      <w:tr>
        <w:trPr>
          <w:tblHeader w:val="true"/>
          <w:cantSplit/>
        </w:trPr>
        <w:tc>
          <w:tcPr>
            <w:tcW w:w="81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97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 risc</w:t>
            </w:r>
          </w:p>
        </w:tc>
        <w:tc>
          <w:tcPr>
            <w:tcW w:w="648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Forma concretă de manifestare a factorilor de risc</w:t>
            </w:r>
          </w:p>
        </w:tc>
        <w:tc>
          <w:tcPr>
            <w:tcW w:w="10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r>
      <w:tr>
        <w:trPr>
          <w:cantSplit/>
        </w:trPr>
        <w:tc>
          <w:tcPr>
            <w:tcW w:w="8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{{#ranked}}{{$index}}.</w:t>
            </w:r>
          </w:p>
        </w:tc>
        <w:tc>
          <w:tcPr>
            <w:tcW w:w="974"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w:t>
            </w:r>
          </w:p>
        </w:tc>
        <w:tc>
          <w:tcPr>
            <w:tcW w:w="648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{{description}}</w:t>
            </w:r>
          </w:p>
        </w:tc>
        <w:tc>
          <w:tcPr>
            <w:tcW w:w="10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{{level}}{{/ranked}}</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V.2. Nivelul de risc global al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(Nr) este media ponderată a nivelurilor de risc ale factorilor identificați, rangul fiecărui factor fiind egal cu nivelul său de risc, după formula prezentată în capitolul II: Nr = Σ (ri × Ri) / Σ ri.</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calculat pentru „{{name}}” este egal cu {{globalLevel}}, {{verdict}}.</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{{findings}}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{{unacceptableLead}}</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{{measuresSentence}}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V.3. Ponderea factorilor de risc identificați după elementele sistemului de muncă</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În ceea ce privește repartiția factorilor de risc pe sursele generatoare, situația se prezintă după cum urmează:</w:t>
      </w:r>
    </w:p>
    <w:tbl>
      <w:tblPr>
        <w:tblW w:w="5000" w:type="pct"/>
        <w:jc w:val="left"/>
        <w:tblInd w:w="55" w:type="dxa"/>
        <w:tblLayout w:type="fixed"/>
        <w:tblCellMar>
          <w:top w:w="55" w:type="dxa"/>
          <w:left w:w="55" w:type="dxa"/>
          <w:bottom w:w="55" w:type="dxa"/>
          <w:right w:w="55" w:type="dxa"/>
        </w:tblCellMar>
      </w:tblPr>
      <w:tblGrid>
        <w:gridCol w:w="4677"/>
        <w:gridCol w:w="2339"/>
        <w:gridCol w:w="2339"/>
      </w:tblGrid>
      <w:tr>
        <w:trPr>
          <w:tblHeader w:val="true"/>
        </w:trPr>
        <w:tc>
          <w:tcPr>
            <w:tcW w:w="46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w:t>
            </w:r>
          </w:p>
        </w:tc>
        <w:tc>
          <w:tcPr>
            <w:tcW w:w="23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de factori de risc</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Ponderea</w:t>
            </w:r>
          </w:p>
        </w:tc>
      </w:tr>
      <w:tr>
        <w:trPr/>
        <w:tc>
          <w:tcPr>
            <w:tcW w:w="467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{{#components}}{{label}}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{{share}}{{/components}}</w:t>
            </w:r>
          </w:p>
        </w:tc>
      </w:tr>
      <w:tr>
        <w:trPr/>
        <w:tc>
          <w:tcPr>
            <w:tcW w:w="4677"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TOTAL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{{irreversible}}</w:t>
      </w:r>
      <w:r>
        <w:br w:type="page"/>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 CONCLUZII GENERALE</w:t>
      </w:r>
    </w:p>
    <w:p>
      <w:pPr>
        <w:pStyle w:val="Normal"/>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sănătate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funcționarea optimă a sistemului conduc la vătămarea organismului uman numai când se constituie un lanț cauzal (din cel puțin două elemente, unul obiectiv și altul subiectiv), a cărui ultimă verigă este impactul între persoană și agentul material care o lezează. Din acest motiv, disfuncțiile elementelor sistemului de muncă sunt considerate cauze potențiale de accidentare, respectiv factori de risc.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Se menționează că nu este posibilă o delimitare riguroasă între factorii de risc de accidentare și factorii de risc de îmbolnăvire profesională, diferența fiind numai nivelul și durata de expunere a organismului, astfel încât un factor de îmbolnăvire poate deveni factor de accidentare și invers. Metoda utilizată a urmărit identificarea factorilor de risc la locurile de muncă cu pericol de accidentare /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Analiza s-a făcut prin examinarea tuturor activităților declarate de angajator că se desfășoară în cadrul {{client.legalName}} ținându-se seama de situația existentă la data evaluării (metode de lucru, personal existent, dotare, condiții de mediu, dotare tehnică, istoric evenimente, etc.).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față conține evaluarea riscurilor de accidentare și îmbolnăvire profesională pentru {{riskAssessment.evaluationCountText}} din cadrul {{client.legalName}}, în conformitate cu prevederile legale.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 de evaluare a riscurilor de accidentare și îmbolnăvire profesională pe loc de muncă avizată de Ministerul Muncii și Solidarității Sociale în anul 1993.</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VI.II. RECOMANDĂRI</w:t>
      </w:r>
    </w:p>
    <w:p>
      <w:pPr>
        <w:pStyle w:val="Normal"/>
        <w:keepNext w:val="true"/>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keepNext w:val="fals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TOATE LOCURILE DE MUNCĂ</w:t>
      </w:r>
    </w:p>
    <w:p>
      <w:pPr>
        <w:pStyle w:val="Normal"/>
        <w:keepNext w:val="fals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Însușirea și respectarea normelor de protecție a muncii și măsurile de aplicare a acestora;</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Desfășurarea activităților în așa fel încât să nu expună la pericol de accidentare sau îmbolnăvire profesională atât propria persoană, cât și pe celelalte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Aducerea la cunoștință a conducătorului locului de muncă despre orice defecțiune tehnică sau altă situație care constituie un pericol de accidentare sau îmbolnăvire profesională;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conducătorului locului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Completarea semnalizării de securitate și/sau sănătate în muncă: marcarea prizelor, marcarea tablourilor, marcarea elementelor electrice, marcarea căilor de acces;</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Efectuarea periodică a verificărilor PRAM;</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de materiale igienico-sanitare pentru toate categoriile de salariați corespunzător activității desfășurate;</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Acordarea facilităților prevăzute de legislația în vigoare în cazul temperaturilor extreme: perioada caldă (apă minerală carbogazoasă – 2-4 l / persoană / zi); perioada rece (ceai – 0,5 l / persoană / zi);</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keepNext w:val="false"/>
        <w:widowControl/>
        <w:numPr>
          <w:ilvl w:val="0"/>
          <w:numId w:val="36"/>
        </w:numPr>
        <w:spacing w:before="0" w:after="40"/>
        <w:jc w:val="left"/>
        <w:rPr>
          <w:rFonts w:ascii="Arial" w:hAnsi="Arial" w:cs="Arial"/>
          <w:b/>
          <w:sz w:val="18"/>
          <w:szCs w:val="18"/>
          <w:vertAlign w:val="superscript"/>
        </w:rPr>
      </w:pPr>
      <w:r>
        <w:rPr>
          <w:rFonts w:eastAsia="Arial" w:cs="Arial" w:ascii="Arial" w:hAnsi="Arial"/>
          <w:color w:val="auto"/>
          <w:spacing w:val="0"/>
          <w:w w:val="100"/>
          <w:sz w:val="20"/>
          <w:szCs w:val="20"/>
          <w:lang w:val="ro-RO"/>
        </w:rPr>
        <w:t>Elaborarea planului de prevenire și protecție;</w:t>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NIVELURILE DE RISC GLOBAL ALE LOCURILOR DE MUNCĂ EVALUATE</w:t>
      </w:r>
    </w:p>
    <w:tbl>
      <w:tblPr>
        <w:tblW w:w="5000" w:type="pct"/>
        <w:jc w:val="left"/>
        <w:tblInd w:w="55" w:type="dxa"/>
        <w:tblLayout w:type="fixed"/>
        <w:tblCellMar>
          <w:top w:w="55" w:type="dxa"/>
          <w:left w:w="55" w:type="dxa"/>
          <w:bottom w:w="55" w:type="dxa"/>
          <w:right w:w="55" w:type="dxa"/>
        </w:tblCellMar>
      </w:tblPr>
      <w:tblGrid>
        <w:gridCol w:w="877"/>
        <w:gridCol w:w="6430"/>
        <w:gridCol w:w="2048"/>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43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Locul de muncă / postul de lucru</w:t>
            </w:r>
          </w:p>
        </w:tc>
        <w:tc>
          <w:tcPr>
            <w:tcW w:w="204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Nivelul de risc global</w:t>
            </w:r>
          </w:p>
        </w:tc>
      </w:tr>
      <w:tr>
        <w:trPr/>
        <w:tc>
          <w:tcPr>
            <w:tcW w:w="87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{{#riskAssessment.evaluations}}{{$index}}.</w:t>
            </w:r>
          </w:p>
        </w:tc>
        <w:tc>
          <w:tcPr>
            <w:tcW w:w="6430"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204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{{globalLevel}}{{/riskAssessment.evaluations}}</w:t>
            </w:r>
          </w:p>
        </w:tc>
      </w:tr>
    </w:tbl>
    <w:p>
      <w:pPr>
        <w:pStyle w:val="Normal"/>
        <w:keepNext w:val="false"/>
        <w:pageBreakBefore w:val="false"/>
        <w:widowControl/>
        <w:numPr>
          <w:ilvl w:val="0"/>
          <w:numId w:val="0"/>
        </w:numPr>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Nivelul de risc global pe unitate (Nrg) este media ponderată a nivelurilor de risc global ale locurilor de muncă evaluate, rangul fiecărui loc de muncă fiind egal cu nivelul său de risc global: Nrg = Σ (Nrgi × Nrgi) / Σ Nrgi.</w:t>
      </w:r>
    </w:p>
    <w:p>
      <w:pPr>
        <w:pStyle w:val="Normal"/>
        <w:keepNext w:val="false"/>
        <w:pageBreakBefore w:val="false"/>
        <w:widowControl/>
        <w:numPr>
          <w:ilvl w:val="0"/>
          <w:numId w:val="0"/>
        </w:numPr>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Nrg = {{riskAssessment.globalLevel}}</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SUBCAPITOLUL VI.III. CONSULTAREA LUCRĂTORILOR ȘI REVIZUIREA EVALUĂRII</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Lucrătorii au fost consultați și au participat la evaluarea riscurilor, potrivit art. 18 din Legea nr. 319/2006: la fiecare loc de muncă evaluat au fost discutate cu ei activitățile desfășurate, echipamentele de muncă utilizate și condițiile de muncă, iar observațiile lor au fost luate în considerare la identificarea factorilor de risc.</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s-a făcut direct cu lucrătorii și, acolo unde au fost desemnați, prin reprezentanții lucrătorilor cu răspunderi specifice în domeniul securității și sănătății lucrătorilor.</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 al lucrătorilor cu răspunderi specifice în domeniul securității și sănătății lucrătorilor: {{name}}, {{jobTitle}}.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Evaluarea riscurilor se revizuiește, împreună cu planul de prevenire și protecție care decurge din ea, ori de câte ori intervin modificări ale condițiilor de muncă, respectiv la apariția unor riscuri noi și în urma producerii unui eveniment (art. 46 alin. (1) din H.G. nr. 1425/2006).</w:t>
      </w:r>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720"/>
        </w:tabs>
        <w:ind w:left="720" w:hanging="360"/>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0">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1">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5">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user">
    <w:name w:val="Endnote Characters (user)"/>
    <w:rPr>
      <w:vertAlign w:val="superscript"/>
    </w:rPr>
  </w:style>
  <w:style w:type="character" w:styleId="EndnoteCharacters">
    <w:name w:val="Endnote Characters"/>
    <w:rPr/>
  </w:style>
  <w:style w:type="character" w:styleId="EndnoteReference">
    <w:name w:val="endnote reference"/>
    <w:rPr>
      <w:vertAlign w:val="superscript"/>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
    <w:name w:val="Frame Contents"/>
    <w:basedOn w:val="Normal"/>
    <w:pPr/>
    <w:rPr/>
  </w:style>
  <w:style w:type="paragraph" w:styleId="HeaderLeft">
    <w:name w:val="Header Left"/>
    <w:basedOn w:val="Header"/>
    <w:pPr/>
    <w:rPr/>
  </w:style>
  <w:style w:type="paragraph" w:styleId="FrameContentsuser">
    <w:name w:val="Frame Contents (user)"/>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33</Pages>
  <Words>11756</Words>
  <Characters>67810</Characters>
  <CharactersWithSpaces>77477</CharactersWithSpaces>
  <Paragraphs>2047</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2026-10-01T22:40:10Z</dcterms:modified>
  <cp:revision>11</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