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52 – 56,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 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 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prezentei hotărâri,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12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 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 – 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 – 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 – 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 xml:space="preserve">Angajatorul trebuie să dispună de programe de instruire-testare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Altfel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Costuri diverse (penalizări pentru întârzieri la livrare, alterarea imaginii firmei în rândul clienților, declasare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(apă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 xml:space="preserve"/>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 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 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