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9.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5.xml" ContentType="application/vnd.openxmlformats-officedocument.wordprocessingml.header+xml"/>
  <Override PartName="/word/media/image1.wmf" ContentType="image/x-wmf"/>
  <Override PartName="/word/media/image2.wmf" ContentType="image/x-wmf"/>
  <Override PartName="/word/media/image9.wmf" ContentType="image/x-wmf"/>
  <Override PartName="/word/footer1.xml" ContentType="application/vnd.openxmlformats-officedocument.wordprocessingml.footer+xml"/>
  <Override PartName="/word/footer5.xml" ContentType="application/vnd.openxmlformats-officedocument.wordprocessingml.footer+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fontTable.xml" ContentType="application/vnd.openxmlformats-officedocument.wordprocessingml.fontTable+xml"/>
  <Override PartName="/word/header7.xml" ContentType="application/vnd.openxmlformats-officedocument.wordprocessingml.header+xml"/>
  <Override PartName="/word/header8.xml" ContentType="application/vnd.openxmlformats-officedocument.wordprocessingml.header+xml"/>
  <Override PartName="/word/footer9.xml" ContentType="application/vnd.openxmlformats-officedocument.wordprocessingml.footer+xml"/>
  <Override PartName="/word/styles.xml" ContentType="application/vnd.openxmlformats-officedocument.wordprocessingml.styles+xml"/>
  <Override PartName="/word/header6.xml" ContentType="application/vnd.openxmlformats-officedocument.wordprocessingml.header+xml"/>
  <Override PartName="/word/numbering.xml" ContentType="application/vnd.openxmlformats-officedocument.wordprocessingml.numbering+xml"/>
  <Override PartName="/word/footer8.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footer6.xml" ContentType="application/vnd.openxmlformats-officedocument.wordprocessingml.footer+xml"/>
  <Override PartName="/word/settings.xml" ContentType="application/vnd.openxmlformats-officedocument.wordprocessingml.settings+xml"/>
  <Override PartName="/word/footer4.xml" ContentType="application/vnd.openxmlformats-officedocument.wordprocessingml.foot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widowControl/>
        <w:spacing w:before="0" w:after="0"/>
        <w:ind w:firstLine="720" w:left="5040"/>
        <w:jc w:val="left"/>
        <w:rPr>
          <w:rFonts w:ascii="Arial" w:hAnsi="Arial" w:cs="Arial"/>
          <w:sz w:val="2"/>
          <w:szCs w:val="24"/>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keepNext w:val="true"/>
        <w:widowControl/>
        <w:spacing w:before="0" w:after="0"/>
        <w:ind w:hanging="0"/>
        <w:jc w:val="center"/>
        <w:rPr>
          <w:rFonts w:ascii="Arial Black" w:hAnsi="Arial Black" w:cs="Arial"/>
          <w:b/>
          <w:sz w:val="56"/>
          <w:szCs w:val="56"/>
          <w:lang w:val="it-IT"/>
        </w:rPr>
      </w:pPr>
      <w:r>
        <w:rPr>
          <w:rFonts w:eastAsia="Arial" w:cs="Arial" w:ascii="Arial" w:hAnsi="Arial"/>
          <w:b/>
          <w:color w:val="auto"/>
          <w:spacing w:val="0"/>
          <w:w w:val="100"/>
          <w:sz w:val="24"/>
          <w:szCs w:val="20"/>
          <w:lang w:val="ro-RO"/>
        </w:rPr>
        <w:t>EVALUAREA RISCURILOR DE ACCIDENTARE ȘI/ SAU ÎMBOLNĂVIRE PROFESIONALĂ</w:t>
      </w:r>
    </w:p>
    <w:p>
      <w:pPr>
        <w:pStyle w:val="Normal"/>
        <w:widowControl/>
        <w:spacing w:before="0" w:after="240"/>
        <w:ind w:hanging="0"/>
        <w:jc w:val="center"/>
        <w:rPr>
          <w:rFonts w:ascii="Arial Black" w:hAnsi="Arial Black" w:cs="Arial"/>
          <w:b/>
          <w:sz w:val="56"/>
          <w:szCs w:val="56"/>
          <w:lang w:val="es-ES"/>
        </w:rPr>
      </w:pPr>
      <w:r>
        <w:rPr>
          <w:rFonts w:eastAsia="Arial" w:cs="Arial" w:ascii="Arial" w:hAnsi="Arial"/>
          <w:b/>
          <w:color w:val="auto"/>
          <w:spacing w:val="0"/>
          <w:w w:val="100"/>
          <w:sz w:val="20"/>
          <w:szCs w:val="20"/>
          <w:lang w:val="ro-RO"/>
        </w:rPr>
        <w:t>PENTRU</w:t>
      </w:r>
    </w:p>
    <w:p>
      <w:pPr>
        <w:pStyle w:val="Heading1"/>
        <w:widowControl/>
        <w:spacing w:before="0" w:after="240"/>
        <w:ind w:hanging="0"/>
        <w:jc w:val="center"/>
        <w:rPr>
          <w:rFonts w:ascii="Arial Black" w:hAnsi="Arial Black" w:cs="Arial"/>
          <w:sz w:val="56"/>
          <w:szCs w:val="56"/>
          <w:lang w:val="it-IT"/>
        </w:rPr>
      </w:pPr>
      <w:r>
        <w:rPr>
          <w:rFonts w:eastAsia="Arial" w:cs="Arial" w:ascii="Arial" w:hAnsi="Arial"/>
          <w:color w:val="auto"/>
          <w:spacing w:val="0"/>
          <w:w w:val="100"/>
          <w:sz w:val="20"/>
          <w:szCs w:val="20"/>
          <w:lang w:val="ro-RO"/>
        </w:rPr>
        <w:t>{{client.legalName}}</w:t>
      </w:r>
    </w:p>
    <w:p>
      <w:pPr>
        <w:pStyle w:val="Normal"/>
        <w:widowControl/>
        <w:spacing w:before="0" w:after="0"/>
        <w:ind w:hanging="0"/>
        <w:jc w:val="left"/>
        <w:rPr>
          <w:sz w:val="2"/>
          <w:lang w:val="it-IT"/>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IT"/>
        </w:rPr>
      </w:pPr>
      <w:r>
        <w:rPr>
          <w:rFonts w:eastAsia="Arial" w:cs="Arial" w:ascii="Arial" w:hAnsi="Arial"/>
          <w:color w:val="auto"/>
          <w:spacing w:val="0"/>
          <w:w w:val="100"/>
          <w:sz w:val="2"/>
          <w:szCs w:val="20"/>
          <w:lang w:val="ro-RO"/>
        </w:rPr>
      </w:r>
    </w:p>
    <w:p>
      <w:pPr>
        <w:pStyle w:val="Normal"/>
        <w:widowControl/>
        <w:spacing w:before="0" w:after="0"/>
        <w:ind w:hanging="0"/>
        <w:jc w:val="left"/>
        <w:rPr>
          <w:rStyle w:val="tal1"/>
          <w:rFonts w:ascii="Arial" w:hAnsi="Arial" w:cs="Arial"/>
          <w:color w:val="auto"/>
          <w:sz w:val="2"/>
          <w:szCs w:val="22"/>
          <w:lang w:val="ro-RO"/>
        </w:rPr>
      </w:pPr>
      <w:r>
        <w:rPr>
          <w:rFonts w:cs="Arial" w:ascii="Arial" w:hAnsi="Arial"/>
          <w:sz w:val="22"/>
          <w:szCs w:val="22"/>
          <w:lang w:val="it-IT"/>
        </w:rPr>
      </w:r>
    </w:p>
    <w:p>
      <w:pPr>
        <w:pStyle w:val="Normal"/>
        <w:keepNext w:val="true"/>
        <w:widowControl/>
        <w:spacing w:before="0" w:after="120"/>
        <w:ind w:hanging="0"/>
        <w:jc w:val="left"/>
        <w:rPr>
          <w:rFonts w:ascii="Arial" w:hAnsi="Arial" w:cs="Arial"/>
          <w:sz w:val="28"/>
        </w:rPr>
      </w:pPr>
      <w:r>
        <w:rPr>
          <w:rFonts w:eastAsia="Arial" w:cs="Arial" w:ascii="Arial" w:hAnsi="Arial"/>
          <w:b/>
          <w:color w:val="auto"/>
          <w:spacing w:val="0"/>
          <w:w w:val="100"/>
          <w:sz w:val="20"/>
          <w:szCs w:val="20"/>
          <w:lang w:val="ro-RO"/>
        </w:rPr>
        <w:t>Persoane implicate în procesul de predare-primire a lucrării de evaluare a riscurilor</w:t>
      </w:r>
    </w:p>
    <w:tbl>
      <w:tblPr>
        <w:tblW w:w="5000" w:type="pct"/>
        <w:jc w:val="left"/>
        <w:tblInd w:w="55" w:type="dxa"/>
        <w:tblLayout w:type="fixed"/>
        <w:tblCellMar>
          <w:top w:w="55" w:type="dxa"/>
          <w:left w:w="55" w:type="dxa"/>
          <w:bottom w:w="55" w:type="dxa"/>
          <w:right w:w="55" w:type="dxa"/>
        </w:tblCellMar>
      </w:tblPr>
      <w:tblGrid>
        <w:gridCol w:w="877"/>
        <w:gridCol w:w="2046"/>
        <w:gridCol w:w="3093"/>
        <w:gridCol w:w="1000"/>
        <w:gridCol w:w="2339"/>
      </w:tblGrid>
      <w:tr>
        <w:trPr>
          <w:tblHeader w:val="true"/>
        </w:trPr>
        <w:tc>
          <w:tcPr>
            <w:tcW w:w="877"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04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Activitate desfășurată</w:t>
            </w:r>
          </w:p>
        </w:tc>
        <w:tc>
          <w:tcPr>
            <w:tcW w:w="3093"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Numele și prenumele</w:t>
            </w:r>
          </w:p>
        </w:tc>
        <w:tc>
          <w:tcPr>
            <w:tcW w:w="100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Data</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Semnătura</w:t>
            </w:r>
          </w:p>
        </w:tc>
      </w:tr>
      <w:tr>
        <w:trPr/>
        <w:tc>
          <w:tcPr>
            <w:tcW w:w="877" w:type="dxa"/>
            <w:tcBorders>
              <w:left w:val="single" w:sz="4" w:space="0" w:color="000000"/>
              <w:bottom w:val="single" w:sz="4" w:space="0" w:color="000000"/>
            </w:tcBorders>
            <w:tcMar>
              <w:top w:w="277" w:type="dxa"/>
              <w:bottom w:w="277" w:type="dxa"/>
            </w:tcMar>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w:t>
            </w:r>
          </w:p>
        </w:tc>
        <w:tc>
          <w:tcPr>
            <w:tcW w:w="2046"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Întocmit</w:t>
            </w:r>
          </w:p>
        </w:tc>
        <w:tc>
          <w:tcPr>
            <w:tcW w:w="3093"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{{specialist.name}} – {{specialist.professionalTitle}}, {{provider.legalName}}</w:t>
            </w:r>
          </w:p>
        </w:tc>
        <w:tc>
          <w:tcPr>
            <w:tcW w:w="1000"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339"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tc>
          <w:tcPr>
            <w:tcW w:w="877"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w:t>
            </w:r>
          </w:p>
        </w:tc>
        <w:tc>
          <w:tcPr>
            <w:tcW w:w="2046"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Aprobat</w:t>
            </w:r>
          </w:p>
        </w:tc>
        <w:tc>
          <w:tcPr>
            <w:tcW w:w="3093"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{{client.representativeName}} – {{client.representativeRole}}, {{client.legalName}}</w:t>
            </w:r>
          </w:p>
        </w:tc>
        <w:tc>
          <w:tcPr>
            <w:tcW w:w="1000"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339"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bl>
    <w:p>
      <w:pPr>
        <w:pStyle w:val="Normal"/>
        <w:keepNext w:val="false"/>
        <w:pageBreakBefore w:val="false"/>
        <w:widowControl/>
        <w:numPr>
          <w:ilvl w:val="0"/>
          <w:numId w:val="0"/>
        </w:numPr>
        <w:spacing w:before="24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Evaluarea a fost realizată la data de {{issueDate}}.</w:t>
      </w:r>
    </w:p>
    <w:p>
      <w:pPr>
        <w:pStyle w:val="Normal"/>
        <w:keepNext w:val="true"/>
        <w:pageBreakBefore/>
        <w:widowControl/>
        <w:tabs>
          <w:tab w:val="clear" w:pos="720"/>
          <w:tab w:val="left" w:pos="567" w:leader="none"/>
        </w:tabs>
        <w:spacing w:before="0" w:after="120"/>
        <w:ind w:hanging="0"/>
        <w:jc w:val="center"/>
        <w:rPr>
          <w:rFonts w:ascii="Arial" w:hAnsi="Arial" w:cs="Arial"/>
          <w:b/>
          <w:sz w:val="20"/>
          <w:szCs w:val="20"/>
          <w:lang w:val="it-IT"/>
        </w:rPr>
      </w:pPr>
      <w:r>
        <w:rPr>
          <w:rFonts w:eastAsia="Arial" w:cs="Arial" w:ascii="Arial" w:hAnsi="Arial"/>
          <w:b/>
          <w:color w:val="auto"/>
          <w:spacing w:val="0"/>
          <w:w w:val="100"/>
          <w:sz w:val="20"/>
          <w:szCs w:val="20"/>
          <w:lang w:val="ro-RO"/>
        </w:rPr>
        <w:t>Cuprins</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 INTRODUCERE ÎN SISTEMUL DE EVALUARE D.P.D.V. AL SECURITĂȚII ȘI SĂNĂTĂȚII ÎN MUNCĂ</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II. PREZENTAREA METODEI ELABORATE DE I.N.C.D.P.M. BUCUREȘTI PENTRU EVALUAREA RISCURILOR DE ACCIDENTARE ȘI ÎMBOLNĂVIRE PROFESIONALĂ</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II.I. PREMISE TEORETICE</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II.II. DESCRIEREA METODEI</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II.III. APLICAREA METODEI</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III. PREZENTAREA UNITĂȚII</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IV. FORMAREA ECHIPELOR (COLECTIVULUI) DE EVALUARE A RISCURILOR DE ACCIDENTARE ȘI/ SAU ÎMBOLNĂVIRE PROFESIONALĂ PENTRU {{client.legalName}}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1. LISTA DE IDENTIFICARE A FACTORILOR DE RISC</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2. LISTA DE CONSECINȚE POSIBILE ALE ACȚIUNII FACTORILOR DE RISC ASUPRA ORGANISMULUI UMAN</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3. SCALA DE COTARE A GRAVITĂȚII ȘI PROBABILITĂȚII CONSECINȚELOR ACȚIUNII FACTORILOR DE RISC ASUPRA ORGANISMULUI UMAN</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4. GRILA DE EVALUARE A RISCURILOR (COMBINAȚIE ÎNTRE GRAVITATEA CONSECINȚELOR ȘI PROBABILITATEA PRODUCERII LOR)</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5. SCALA DE ÎNCADRARE A NIVELURILOR DE RISC/SECURITATE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6. ORDINEA IERARHICĂ A MĂSURILOR DE PREVENIRE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BIBLIOGRAFIE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V. UTILIZAREA METODEI ELABORATE DE I.N.C.D.P.M. BUCUREȘTI PENTRU EVALUAREA RISCURILOR DE ACCIDENTARE ȘI ÎMBOLNĂVIRE PROFESIONALĂ LA {{client.legalName}}</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{{#riskAssessment.evaluations}}</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V.{{roman}}. EVALUAREA RISCURILOR DE ACCIDENTARE ȘI ÎMBOLNĂVIRE PROFESIONALĂ PENTRU {{heading}}</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{{/riskAssessment.evaluations}}</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VI. CONCLUZII GENERALE</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VI.I. CONCLUZIILE EVALUĂRII</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VI.II. RECOMANDĂRI</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VI.III. CONSULTAREA LUCRĂTORILOR ȘI REVIZUIREA EVALUĂRII</w:t>
      </w:r>
    </w:p>
    <w:p>
      <w:pPr>
        <w:pStyle w:val="Normal"/>
        <w:keepNext w:val="true"/>
        <w:pageBreakBefor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 INTRODUCERE ÎN SISTEMUL DE EVALUARE D.P.D.V. AL SECURITĂȚII ȘI SĂNĂTĂȚII ÎN MUNCĂ</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Punctul de plecare în optimizarea activității de prevenire a accidentelor de muncă și îmbolnăvirilor profesionale într-un sistem îl constituie evaluarea riscurilor din sistemul respectiv.</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Indiferent că este vorba de un loc de muncă, un atelier sau o întreprindere, o asemenea analiză permite ierarhizarea riscurilor în funcție de dimensiunea lor și alocarea eficientă a resurselor pentru măsurile prioritare.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Evaluarea riscurilor presupune identificarea tuturor factorilor de risc din sistemul analizat și cuantificarea dimensiunii lor pe baza combinației dintre doi parametri: gravitatea și frecvența consecinței maxime posibile asupra organismului uman. Se obțin astfel niveluri de risc parțiale pentru fiecare factor de risc, respectiv niveluri de risc global pentru întregul sistem analizat.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Acest principiu de evaluare a riscurilor este inclus deja în standardele europene (CEI 812/1985, respectiv EN 292-1/1991, EN 1050/96) și stă la baza diferitelor metode cu aplicabilitate practică. Astfel, SR EN 292-1/1996, preluat în România după standardul european amintit, în capitolul 6 precizează că „factorii ce trebuie luați în considerare la evaluarea riscului sunt probabilitatea producerii unei leziuni sau afectări a sănătății și gravitatea maximă previzibilă a leziunii sau afectării sănătății.”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Obligativitatea evaluării riscurilor la locurile de muncă în țara noastră decurge din legislația actuală în domeniu, care a fost armonizată cu legislația Uniunii Europene privind sănătatea și securitatea în muncă. În Legea 319/2006 a securității și sănătății în muncă se prevede la art. 7 alin. (4) lit. a): „... angajatorul are obligația ...</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să evalueze riscurile pentru securitatea și sănătatea lucrătorilor, inclusiv la alegerea echipamentelor de muncă, a substanțelor sau preparatelor chimice utilizate și la amenajarea locurilor de muncă”, iar la art. 12 alin. (1): „Angajatorul are următoarele obligații: ... să realizeze o evaluare a riscurilor pentru securitatea și sănătatea în muncă, inclusiv pentru acele grupuri sensibile la riscuri specifice”.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În Normele metodologice de aplicare a Legii 319/2006 la art. 15 alin. (1) se prevede: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„Activitățile de prevenire și protecție ... sunt următoarele: identificarea pericolelor și evaluarea riscurilor pentru fiecare componentă a sistemului de muncă, pe locuri de muncă/posturi de lucru.”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Îndeplinirea efectivă a acestei obligații legale se realizează de către personalul din cadrul serviciului de securitate a muncii, cu sprijinul instituțiilor de specialitate sau al persoanelor fizice autorizate (servicii externe).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în Normele metodologice de aplicare a Legii 319/2006 la art. 71 se prevede: „Angajatorul trebuie să informeze comitetul de securitate și sănătate în muncă cu privire la evaluarea</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riscurilor pentru securitate și sănătate, măsurile de prevenire și protecție atât la nivel de unitate, cât și la nivel de loc de muncă și tipuri de posturi de lucru...”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Pentru facilitarea îndeplinirii obligațiilor legale ale angajatorilor în domeniul evaluării riscurilor de accidentare și îmbolnăvire profesională au fost concepute și sunt utilizate în prezent un număr relativ mare de metode de evaluare 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multitudinea de metode utilizate pe plan mondial și național pentru evaluarea riscurilor de accidentare și îmbolnăvire profesională, s-a optat pentru utilizarea metodei elaborate de I.N.C.D.P.M. București. Această metodă a fost avizată de Ministerul Muncii și Solidarității Sociale în anul 1993 și a fost experimentată până în prezent în majoritatea ramurilor industriale, aducându-i-se permanent îmbunătățiri.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elaborată de I.N.C.D.P.M. București face parte din categoria metodelor analitice, semicantitative și constă, în esență, în identificarea tuturor factorilor de risc din sistemul analizat (loc de muncă) cu ajutorul unor liste de control prestabilite și cuantificarea dimensiunii riscului pentru fiecare factor de risc în parte, pe baza combinației dintre gravitatea și frecvența consecinței maxime previzibile. Nivelul de risc global, pe loc de muncă, se determină ca medie ponderată a nivelurilor de risc parțiale, astfel încât compensările să fie minime. Nivelul de securitate rezultă indirect, fiind invers proporțional cu nivelul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metodei se finalizează cu două documente centralizatoare pentru fiecare loc de muncă: fișa de evaluare a riscurilor și fișa de măsuri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fișă se înscriu factorii de risc identificați, parametrii de cuantificare ai acestora, consecința maximă previzibilă, clasele de gravitate și frecvență, nivelul de risc pentru fiecare factor de risc în parte și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Fișa a doua conține măsurile tehnice și organizatorice necesare pentru combaterea acțiunii fiecărui factor de risc de la locul de muncă evaluat, ierarhizate în funcție de nivelurile de risc, începând cu nivelurile foarte mari (7, 6, 5, 4,…). Prin aplicarea acestor măsuri locul de muncă trece de la un nivel de risc superior la niveluri inferioare.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parte a lucrării este prezentată o descriere detaliată a metodei elaborate de I.N.C.D.P.M. București (finalitate, principiu, utilizatori, etape, mod de aplicare, procedura de lucru și condiții de aplicare), precum și a instrumentelor de lucru (lista de identificare a factorilor de risc, lista de consecințe, scala de cotare a gravității și a frecvenței, grila de încadrare a nivelurilor de risc etc.).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Partea a doua a lucrării este dedicată prezentării modului concret de utilizare a metodei I.N.C.D.P.M. București în vederea evaluării riscurilor de accidentare și îmbolnăvire profesională pentru locurile de muncă din societatea {{client.legalName}}.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De asemenea, s-au luat în calcul evenimentele de muncă produse în cadrul societății până la data de {{issueDate}}, ponderea evenimentelor de muncă ce au avut loc în societate, specifică fiecărui loc de muncă și fiecărei activități.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II. PREZENTAREA METODEI ELABORATE DE I.N.C.D.P.M. BUCUREȘTI PENTRU EVALUAREA RISCURILOR DE ACCIDENTARE ȘI ÎMBOLNĂVIRE PROFESIONALĂ</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SUBCAPITOLUL II.I. PREMISE TEORETICE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numPr>
          <w:ilvl w:val="1"/>
          <w:numId w:val="1"/>
        </w:numPr>
        <w:spacing w:before="0" w:after="120"/>
        <w:jc w:val="left"/>
        <w:rPr>
          <w:rFonts w:ascii="Arial" w:hAnsi="Arial" w:cs="Arial"/>
          <w:b/>
          <w:sz w:val="18"/>
          <w:szCs w:val="18"/>
        </w:rPr>
      </w:pPr>
      <w:r>
        <w:rPr>
          <w:rFonts w:eastAsia="Arial" w:cs="Arial" w:ascii="Arial" w:hAnsi="Arial"/>
          <w:b/>
          <w:color w:val="auto"/>
          <w:spacing w:val="0"/>
          <w:w w:val="100"/>
          <w:sz w:val="20"/>
          <w:szCs w:val="20"/>
          <w:lang w:val="ro-RO"/>
        </w:rPr>
        <w:t>Relația risc –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terminologia de specialitate, securitatea omului în procesul de muncă este considerată ca acea stare a sistemului de muncă în care este exclusă posibilitatea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limbajul uzual, securitatea este definită ca faptul de a fi la adăpost de orice pericol, iar riscul – posibilitatea de a ajunge într-o primejdie, pericol potențial</w:t>
      </w:r>
      <w:r>
        <w:rPr>
          <w:rStyle w:val="FootnoteReference"/>
          <w:rFonts w:eastAsia="Arial" w:cs="Arial" w:ascii="Arial" w:hAnsi="Arial"/>
          <w:color w:val="auto"/>
          <w:spacing w:val="0"/>
          <w:w w:val="100"/>
          <w:sz w:val="20"/>
          <w:szCs w:val="20"/>
          <w:lang w:val="ro-RO"/>
        </w:rPr>
        <w:footnoteReference w:id="2"/>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Dacă luăm în considerare sensurile uzuale ale acestor termeni, se poate defini securitatea ca starea sistemului de muncă în care riscul de accidentare și îmbolnăvire este zero.</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Prin urmare, securitatea și riscul sunt două noțiuni abstracte, contrare, care se exclud reciproc.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În realitate, datorită trăsăturilor oricărui sistem de muncă, nu se pot atinge asemenea stări cu caracter de absolut. Nu există sistem în care să fie exclus complet pericolul potențial de accidentare sau îmbolnăvire; apare întotdeauna un risc „rezidual”, fie și numai datorită imprevizibilității acțiunii omului. Dacă nu se fac intervenții corectoare pe parcurs, acest risc rezidual crește, pe măsură ce elementele sistemului de muncă se degradează prin „îmbătrânire”. În consecință, sistemele pot fi caracterizate prin „niveluri de securitate”, respectiv „niveluri de risc”, ca indicatori cantitativi ai stărilor de securitate, respectiv de risc. Definind securitatea ca o funcție de risc y = f(x), unde </w:t>
      </w:r>
      <w:r>
        <w:rPr>
          <w:rFonts w:eastAsia="Arial" w:cs="Arial" w:ascii="Arial" w:hAnsi="Arial"/>
          <w:b w:val="false"/>
          <w:color w:val="auto"/>
          <w:sz w:val="20"/>
          <w:szCs w:val="20"/>
          <w:lang w:val="ro-RO"/>
        </w:rPr>
        <w:t xml:space="preserve">y = 1/x</w:t>
      </w:r>
      <w:r>
        <w:rPr>
          <w:rFonts w:eastAsia="Arial" w:cs="Arial" w:ascii="Arial" w:hAnsi="Arial"/>
          <w:color w:val="auto"/>
          <w:spacing w:val="0"/>
          <w:w w:val="100"/>
          <w:sz w:val="20"/>
          <w:szCs w:val="20"/>
          <w:lang w:val="ro-RO"/>
        </w:rPr>
        <w:t>, se poate afirma că un sistem va fi cu atât mai sigur, cu cât nivelul de risc va fi mai mic și reciproc. Astfel, dacă riscul este zero, din relația dintre cele două variabile rezultă că securitatea tinde către infinit, iar dacă riscul tinde către infinit, securitatea tinde către zero (figura 1.1):</w:t>
      </w:r>
    </w:p>
    <w:p>
      <w:pPr>
        <w:pStyle w:val="Normal"/>
        <w:widowControl/>
        <w:tabs>
          <w:tab w:val="left" w:pos="72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object>
          <v:shapetype id="_x0000_tole_rId4" coordsize="21600,21600" o:spt="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4" type="_x0000_tole_rId4" style="width:143pt;height:32pt;mso-wrap-distance-right:0pt" filled="f" o:ole="">
            <v:imagedata r:id="rId5" o:title=""/>
          </v:shape>
          <o:OLEObject Type="Embed" ProgID="Equation.2" ShapeID="ole_rId4" DrawAspect="Content" ObjectID="_2104222801" r:id="rId4"/>
        </w:object>
      </w:r>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179320" cy="1684020"/>
            <wp:effectExtent l="0" t="0" r="0" b="0"/>
            <wp:docPr id="1" name="Picture 3" descr="crina-fig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crina-fig11"/>
                    <pic:cNvPicPr>
                      <a:picLocks noChangeAspect="1" noChangeArrowheads="1"/>
                    </pic:cNvPicPr>
                  </pic:nvPicPr>
                  <pic:blipFill>
                    <a:blip r:embed="rId6">
                      <a:biLevel thresh="50000"/>
                    </a:blip>
                    <a:stretch>
                      <a:fillRect/>
                    </a:stretch>
                  </pic:blipFill>
                  <pic:spPr bwMode="auto">
                    <a:xfrm>
                      <a:off x="0" y="0"/>
                      <a:ext cx="2179320" cy="1684020"/>
                    </a:xfrm>
                    <a:prstGeom prst="rect">
                      <a:avLst/>
                    </a:prstGeom>
                    <a:noFill/>
                  </pic:spPr>
                </pic:pic>
              </a:graphicData>
            </a:graphic>
          </wp:inline>
        </w:drawing>
      </w:r>
    </w:p>
    <w:p>
      <w:pPr>
        <w:pStyle w:val="Normal"/>
        <w:widowControl/>
        <w:tabs>
          <w:tab w:val="left" w:pos="720" w:leader="none"/>
          <w:tab w:val="left" w:pos="900" w:leader="none"/>
        </w:tabs>
        <w:spacing w:lineRule="auto" w:line="360"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1.1. Relația risc –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context, în practică trebuie admise o limită de risc minim, respectiv un nivel al riscului diferit de zero, dar suficient de mic pentru a se considera că sistemul este sigur, ca și o limită de risc maxim, care să fie echivalentă cu un nivel atât de scăzut de securitate, încât să nu mai fie permisă funcționarea sistemului.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numPr>
          <w:ilvl w:val="1"/>
          <w:numId w:val="1"/>
        </w:numPr>
        <w:spacing w:before="0" w:after="120"/>
        <w:jc w:val="left"/>
        <w:rPr>
          <w:rFonts w:ascii="Arial" w:hAnsi="Arial" w:cs="Arial"/>
          <w:b/>
          <w:bCs/>
          <w:sz w:val="18"/>
          <w:szCs w:val="18"/>
        </w:rPr>
      </w:pPr>
      <w:r>
        <w:rPr>
          <w:rFonts w:eastAsia="Arial" w:cs="Arial" w:ascii="Arial" w:hAnsi="Arial"/>
          <w:b/>
          <w:bCs/>
          <w:color w:val="auto"/>
          <w:spacing w:val="0"/>
          <w:w w:val="100"/>
          <w:sz w:val="20"/>
          <w:szCs w:val="20"/>
          <w:lang w:val="ro-RO"/>
        </w:rPr>
        <w:t>Noțiunea de risc acceptabil:</w:t>
      </w:r>
    </w:p>
    <w:p>
      <w:pPr>
        <w:pStyle w:val="Normal"/>
        <w:widowControl/>
        <w:spacing w:before="0" w:after="120"/>
        <w:ind w:hanging="0"/>
        <w:jc w:val="left"/>
        <w:rPr>
          <w:rFonts w:ascii="Arial" w:hAnsi="Arial" w:cs="Arial"/>
          <w:bCs/>
          <w:sz w:val="18"/>
          <w:szCs w:val="18"/>
          <w:lang w:eastAsia="en-US"/>
        </w:rPr>
      </w:pPr>
      <w:r>
        <w:rPr>
          <w:rFonts w:eastAsia="Arial" w:cs="Arial" w:ascii="Arial" w:hAnsi="Arial"/>
          <w:bCs/>
          <w:color w:val="auto"/>
          <w:spacing w:val="0"/>
          <w:w w:val="100"/>
          <w:sz w:val="20"/>
          <w:szCs w:val="20"/>
          <w:lang w:val="ro-RO" w:eastAsia="en-US"/>
        </w:rPr>
        <w:t>Riscul reprezintă potențialul ca un eveniment neașteptat să apară sau să nu apară la un moment dat ca urmare a apariției unor fenomene adverse neașteptate.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Riscul a fost definit în literatura de specialitate în domeniul securității muncii prin probabilitatea cu care, într-un proces de muncă, intervine un accident sau o îmbolnăvire profesională, cu o anumită frecvență și gravitate a consecințelor.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Într-adevăr, dacă admitem un anumit risc, putem să-l reprezentăm, în funcție de gravitatea și probabilitatea de producere a consecințelor, prin suprafața unui dreptunghi F</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dezvoltat pe verticală; rezultă că aceeași suprafață poate fi exprimată și printr-un pătrat F</w:t>
      </w:r>
      <w:r>
        <w:rPr>
          <w:rFonts w:eastAsia="Arial" w:cs="Arial" w:ascii="Arial" w:hAnsi="Arial"/>
          <w:color w:val="auto"/>
          <w:spacing w:val="0"/>
          <w:w w:val="100"/>
          <w:sz w:val="20"/>
          <w:szCs w:val="20"/>
          <w:vertAlign w:val="subscript"/>
          <w:lang w:val="ro-RO"/>
        </w:rPr>
        <w:t>2</w:t>
      </w:r>
      <w:r>
        <w:rPr>
          <w:rFonts w:eastAsia="Arial" w:cs="Arial" w:ascii="Arial" w:hAnsi="Arial"/>
          <w:color w:val="auto"/>
          <w:spacing w:val="0"/>
          <w:w w:val="100"/>
          <w:sz w:val="20"/>
          <w:szCs w:val="20"/>
          <w:lang w:val="ro-RO"/>
        </w:rPr>
        <w:t xml:space="preserve"> sau printr-un dreptunghi F</w:t>
      </w:r>
      <w:r>
        <w:rPr>
          <w:rFonts w:eastAsia="Arial" w:cs="Arial" w:ascii="Arial" w:hAnsi="Arial"/>
          <w:color w:val="auto"/>
          <w:spacing w:val="0"/>
          <w:w w:val="100"/>
          <w:sz w:val="20"/>
          <w:szCs w:val="20"/>
          <w:vertAlign w:val="subscript"/>
          <w:lang w:val="ro-RO"/>
        </w:rPr>
        <w:t>3</w:t>
      </w:r>
      <w:r>
        <w:rPr>
          <w:rFonts w:eastAsia="Arial" w:cs="Arial" w:ascii="Arial" w:hAnsi="Arial"/>
          <w:color w:val="auto"/>
          <w:spacing w:val="0"/>
          <w:w w:val="100"/>
          <w:sz w:val="20"/>
          <w:szCs w:val="20"/>
          <w:lang w:val="ro-RO"/>
        </w:rPr>
        <w:t xml:space="preserve"> extins pe orizontală (figura 1.2).</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toate cele trei cazuri riscul este la fel de mare. În consecință, putem atribui unor cupluri gravitate – probabilitate diferite, același nivel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Dacă unim cele trei dreptunghiuri printr-o linie trasată prin vârfurile care nu sunt pe axele de coordonate, obținem o curbă cu alură de hiperbolă, care descrie legătura dintre cele două variabile: gravitate – probabilitate. Pentru reprezentarea riscului în funcție de gravitate și probabilitate, standardul CEI 812/1985 definește o astfel de curbă drept „curbă de acceptabilitate a riscului” (figura 1.3).</w:t>
      </w:r>
    </w:p>
    <w:p>
      <w:pPr>
        <w:pStyle w:val="Normal"/>
        <w:widowControl/>
        <w:tabs>
          <w:tab w:val="left" w:pos="720" w:leader="none"/>
          <w:tab w:val="left" w:pos="900" w:leader="none"/>
          <w:tab w:val="left" w:pos="1710" w:leader="none"/>
          <w:tab w:val="left" w:pos="3060" w:leader="none"/>
          <w:tab w:val="left" w:pos="3600" w:leader="none"/>
          <w:tab w:val="left" w:pos="4320" w:leader="none"/>
          <w:tab w:val="left" w:pos="45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225040" cy="1744980"/>
            <wp:effectExtent l="0" t="0" r="0" b="0"/>
            <wp:docPr id="2" name="Picture 4" descr="crina-fig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crina-fig12"/>
                    <pic:cNvPicPr>
                      <a:picLocks noChangeAspect="1" noChangeArrowheads="1"/>
                    </pic:cNvPicPr>
                  </pic:nvPicPr>
                  <pic:blipFill>
                    <a:blip r:embed="rId7">
                      <a:biLevel thresh="50000"/>
                    </a:blip>
                    <a:stretch>
                      <a:fillRect/>
                    </a:stretch>
                  </pic:blipFill>
                  <pic:spPr bwMode="auto">
                    <a:xfrm>
                      <a:off x="0" y="0"/>
                      <a:ext cx="2225040" cy="1744980"/>
                    </a:xfrm>
                    <a:prstGeom prst="rect">
                      <a:avLst/>
                    </a:prstGeom>
                    <a:noFill/>
                  </pic:spPr>
                </pic:pic>
              </a:graphicData>
            </a:graphic>
          </wp:inline>
        </w:drawing>
      </w:r>
    </w:p>
    <w:p>
      <w:pPr>
        <w:pStyle w:val="Normal"/>
        <w:widowControl/>
        <w:tabs>
          <w:tab w:val="left" w:pos="720" w:leader="none"/>
          <w:tab w:val="left" w:pos="900" w:leader="none"/>
          <w:tab w:val="left" w:pos="1710" w:leader="none"/>
          <w:tab w:val="left" w:pos="3060" w:leader="none"/>
          <w:tab w:val="left" w:pos="3600" w:leader="none"/>
          <w:tab w:val="left" w:pos="4320" w:leader="none"/>
          <w:tab w:val="left" w:pos="450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Fig. 1.2. Reprezentarea grafică a echivalenței riscurilor caracterizate prin cupluri diferite de gravitate – probabilitate</w:t>
      </w:r>
    </w:p>
    <w:p>
      <w:pPr>
        <w:pStyle w:val="Normal"/>
        <w:widowControl/>
        <w:tabs>
          <w:tab w:val="left" w:pos="72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628900" cy="1805940"/>
            <wp:effectExtent l="0" t="0" r="0" b="0"/>
            <wp:docPr id="3" name="Picture 5" descr="crina-fig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 descr="crina-fig13"/>
                    <pic:cNvPicPr>
                      <a:picLocks noChangeAspect="1" noChangeArrowheads="1"/>
                    </pic:cNvPicPr>
                  </pic:nvPicPr>
                  <pic:blipFill>
                    <a:blip r:embed="rId8">
                      <a:biLevel thresh="50000"/>
                    </a:blip>
                    <a:stretch>
                      <a:fillRect/>
                    </a:stretch>
                  </pic:blipFill>
                  <pic:spPr bwMode="auto">
                    <a:xfrm>
                      <a:off x="0" y="0"/>
                      <a:ext cx="2628900" cy="1805940"/>
                    </a:xfrm>
                    <a:prstGeom prst="rect">
                      <a:avLst/>
                    </a:prstGeom>
                    <a:noFill/>
                  </pic:spPr>
                </pic:pic>
              </a:graphicData>
            </a:graphic>
          </wp:inline>
        </w:drawing>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 xml:space="preserve">Fig. 1.3. Curba de acceptabilitate a riscului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Această curbă permite diferențierea între riscul acceptabil și cel inacceptabil. Astfel, riscul de producere a unui eveniment A, cu consecințe grave, dar frecvență foarte mică, situat sub curba de acceptabilitate, este considerat acceptabil, iar riscul evenimentului B, cu consecințe mai puțin grave, dar cu o probabilitate mai mare de apariție, ale cărui coordonate se situează deasupra curbei, este inacceptabil.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exemplu, în cazul unei centrale atomice se iau astfel de măsuri încât riscul unui eveniment nuclear – fie el riscul evenimentului A – este caracterizat printr-o gravitate extremă a consecințelor, dar de o probabilitate de producere extrem de mică. Din cauza frecvenței foarte reduse de apariție, activitatea este considerată sigură și riscul acceptat de societate.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schimb, dacă pentru riscul evenimentului B luăm ca exemplu accidentul rutier din activitatea unui conducător auto, deși acest tip de eveniment provoacă consecințe mai puțin grave decât un accident nuclear, probabilitatea de producere este atât de mare (frecvență foarte ridicată), încât locul de muncă al șoferului este considerat nesigur (risc inacceptabil).</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Orice studiu de securitate are drept obiectiv stabilirea riscurilor acceptabile. O asemenea tratare a riscului ridică două probleme:</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cum se stabilesc coordonatele riscului: cuplul gravitate – probabilitate;</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ce coordonate ale riscului se vor alege pentru a delimita zonele de acceptabilitate de cele de inacceptabilitate.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a le rezolva, premisa de la care s-a pornit în elaborarea metodei de evaluare a fost relația risc – factor de risc.</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1.3. Determinarea coordonatelor riscului: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Existența riscului într-un sistem de muncă este datorată prezenței factorilor de risc de accidentare și îmbolnăvire profesională. Prin urmare, elementele cu ajutorul cărora poate fi caracterizat riscul, deci pot fi determinate coordonatele sale, sunt de fapt probabilitatea cu care acțiunea unui factor de risc poate conduce la accident și gravitatea consecinței acțiunii factorului de risc asupra victimei.</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consecință, pentru evaluarea riscului, respectiv a securității, este necesară parcurgerea următoarelor etape:</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identificarea factorilor de risc din sistemul analizat;</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stabilirea consecințelor acțiunii asupra victimei, ceea ce înseamnă determinarea gravității lor;</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stabilirea probabilității de acțiune a lor asupra executantului;</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 xml:space="preserve">atribuirea nivelurilor de risc în funcție de gravitatea și probabilitatea consecințelor acțiunii factorilor de risc.</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Modelul teoretic al genezei accidentelor de muncă și bolilor profesionale elaborat în cadrul I.N.C.D.P.M. București, abordând sistematic cauzalitatea acestor evenimente, permite elaborarea unui instrument pragmatic pentru identificarea tuturor factorilor de risc dintr-un sistem (Anexa 1).</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condițiile unui sistem de muncă real, aflat în funcțiune, nu există suficiente resurse (de timp, financiare, tehnice etc.) pentru ca să se poată interveni simultan asupra tuturor factorilor de risc de accidentare și îmbolnăvire profesională. Chiar dacă ar exista, criteriul eficienței (atât în sensul restrâns, al eficienței economice, cât și al celei sociale) interzice o astfel de acțiune. Din acest motiv, nici în cadrul analizelor de securitate nu se justifică luarea lor integral în considerare. Din multitudinea factorilor de risc a căror înlănțuire se finalizează potențial cu un accident sau o îmbolnăvire, factorii care pot reprezenta cauze finale, directe, sunt cei a căror eliminare garantează imposibilitatea producerii evenimentului, deci devine obligatorie orientarea studiului asupra acestora.</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Diferențierea riscurilor în raport cu gravitatea consecinței este ușor de realizat. Indiferent de factorul de risc și de evenimentul pe care-l poate genera, consecințele asupra executantului pot fi grupate după categoriile definite prin lege: incapacitate temporară de muncă, invaliditate și deces. Mai mult, pentru fiecare factor de risc se poate afirma cu certitudine care este consecința sa maximă posibilă. De exemplu, consecința maximă posibilă a electrocutării va fi întotdeauna decesul, în timp ce consecința maximă a depășirii nivelului normat de zgomot va fi surditatea profesională – invaliditate. Cunoscând tipurile de leziuni și vătămări, ca și localizarea potențială a acestora, în cazul accidentelor și bolilor profesionale, așa cum sunt ele precizate de criteriile medicale de diagnostic clinic, funcțional și de evaluare a capacității de muncă elaborate de Ministerul Sănătății și Ministerul Muncii și Solidarității Sociale (Anexa 2), se poate aprecia pentru fiecare factor de risc în parte la ce leziune va conduce </w:t>
      </w:r>
      <w:r>
        <w:rPr>
          <w:rFonts w:eastAsia="Arial" w:cs="Arial" w:ascii="Arial" w:hAnsi="Arial"/>
          <w:iCs/>
          <w:color w:val="auto"/>
          <w:spacing w:val="0"/>
          <w:w w:val="100"/>
          <w:sz w:val="20"/>
          <w:szCs w:val="20"/>
          <w:lang w:val="ro-RO"/>
        </w:rPr>
        <w:t>în extremis</w:t>
      </w:r>
      <w:r>
        <w:rPr>
          <w:rFonts w:eastAsia="Arial" w:cs="Arial" w:ascii="Arial" w:hAnsi="Arial"/>
          <w:color w:val="auto"/>
          <w:spacing w:val="0"/>
          <w:w w:val="100"/>
          <w:sz w:val="20"/>
          <w:szCs w:val="20"/>
          <w:lang w:val="ro-RO"/>
        </w:rPr>
        <w:t>, ce organ va fi afectat și, în final, ce tip de consecință va produce: incapacitate, invaliditate sau deces. La rândul lor, aceste consecințe se pot diferenția în mai multe clase de gravitate. De exemplu, invaliditatea poate fi de gradul I, II sau III, iar incapacitatea: mai mică de 3 zile calendaristice (limita minimă stabilită prin lege pentru definirea accidentului de muncă), între 3 – 45 zile și între 45 – 180 zile. Ca și în cazul probabilității de producere a accidentelor sau îmbolnăvirilor, putem stabili și pentru gravitatea consecințelor mai multe clase, după cum urmează: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1:</w:t>
      </w:r>
      <w:r>
        <w:rPr>
          <w:rFonts w:eastAsia="Arial" w:cs="Arial" w:ascii="Arial" w:hAnsi="Arial"/>
          <w:color w:val="auto"/>
          <w:spacing w:val="0"/>
          <w:w w:val="100"/>
          <w:sz w:val="20"/>
          <w:szCs w:val="20"/>
          <w:lang w:val="ro-RO"/>
        </w:rPr>
        <w:t xml:space="preserve"> consecințe neglijabile (incapacitate de muncă mai mică de 3 zile calendaristice);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2:</w:t>
      </w:r>
      <w:r>
        <w:rPr>
          <w:rFonts w:eastAsia="Arial" w:cs="Arial" w:ascii="Arial" w:hAnsi="Arial"/>
          <w:color w:val="auto"/>
          <w:spacing w:val="0"/>
          <w:w w:val="100"/>
          <w:sz w:val="20"/>
          <w:szCs w:val="20"/>
          <w:lang w:val="ro-RO"/>
        </w:rPr>
        <w:t xml:space="preserve"> consecințe mici (incapacitate cuprinsă între 3 – 45 zile, care necesită tratament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medical);</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3:</w:t>
      </w:r>
      <w:r>
        <w:rPr>
          <w:rFonts w:eastAsia="Arial" w:cs="Arial" w:ascii="Arial" w:hAnsi="Arial"/>
          <w:color w:val="auto"/>
          <w:spacing w:val="0"/>
          <w:w w:val="100"/>
          <w:sz w:val="20"/>
          <w:szCs w:val="20"/>
          <w:lang w:val="ro-RO"/>
        </w:rPr>
        <w:t xml:space="preserve"> consecințe medii (incapacitate 45 – 180 zile, tratament medical și spitalizare);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4:</w:t>
      </w:r>
      <w:r>
        <w:rPr>
          <w:rFonts w:eastAsia="Arial" w:cs="Arial" w:ascii="Arial" w:hAnsi="Arial"/>
          <w:color w:val="auto"/>
          <w:spacing w:val="0"/>
          <w:w w:val="100"/>
          <w:sz w:val="20"/>
          <w:szCs w:val="20"/>
          <w:lang w:val="ro-RO"/>
        </w:rPr>
        <w:t xml:space="preserve"> consecințe mari (invaliditate gradul III);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5:</w:t>
      </w:r>
      <w:r>
        <w:rPr>
          <w:rFonts w:eastAsia="Arial" w:cs="Arial" w:ascii="Arial" w:hAnsi="Arial"/>
          <w:color w:val="auto"/>
          <w:spacing w:val="0"/>
          <w:w w:val="100"/>
          <w:sz w:val="20"/>
          <w:szCs w:val="20"/>
          <w:lang w:val="ro-RO"/>
        </w:rPr>
        <w:t xml:space="preserve"> consecințe grave (invaliditate gradul 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6:</w:t>
      </w:r>
      <w:r>
        <w:rPr>
          <w:rFonts w:eastAsia="Arial" w:cs="Arial" w:ascii="Arial" w:hAnsi="Arial"/>
          <w:color w:val="auto"/>
          <w:spacing w:val="0"/>
          <w:w w:val="100"/>
          <w:sz w:val="20"/>
          <w:szCs w:val="20"/>
          <w:lang w:val="ro-RO"/>
        </w:rPr>
        <w:t xml:space="preserve"> consecințe foarte grave (invaliditate gradul 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7:</w:t>
      </w:r>
      <w:r>
        <w:rPr>
          <w:rFonts w:eastAsia="Arial" w:cs="Arial" w:ascii="Arial" w:hAnsi="Arial"/>
          <w:color w:val="auto"/>
          <w:spacing w:val="0"/>
          <w:w w:val="100"/>
          <w:sz w:val="20"/>
          <w:szCs w:val="20"/>
          <w:lang w:val="ro-RO"/>
        </w:rPr>
        <w:t xml:space="preserve"> consecințe maxime (deces).</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 xml:space="preserve"> Referitor la frecvență, este cunoscut că accidentul sau boala sunt evenimente aleatorii. Prin urmare, factorii de risc se vor diferenția între ei prin faptul că fiecare conduce cu o altă probabilitate la producerea unui accident sau a unei îmbolnăviri. De asemenea, același factor va putea fi caracterizat printr-o altă frecvență de acțiune asupra executantului, în diverse momente ale funcționării unui sistem de muncă sau în sisteme analoage, în funcție de natura și de starea elementului generator. Astfel, probabilitatea de accidentare cu un mijloc auto este mai mare dacă acesta este vechi și are uzate principalele sisteme, decât dacă este nou.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Din punctul de vedere al operativității, nu se poate lucra însă cu probabilități determinate strict pentru fiecare factor de risc. În unele cazuri, ele nici nu pot fi calculate, cum se întâmplă cu factorii proprii executantului.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Probabilitatea de a acționa într-o anumită manieră generatoare de accident nu poate fi decât aproximată. În alte situații, calculul necesitat de determinarea riguroasă a probabilității de producere a consecinței este atât de laborios, încât ar fi mai costisitor și mai îndelungat decât aplicarea efectivă a măsurilor de prevenire. De aceea ar fi mai indicat să se stabilească probabilitățile, de regulă, prin apreciere și să se grupeze pe intervale. Este mai ușor și mai eficient pentru scopul urmărit să se aproximeze că un anumit accident este probabil să fie generat de acțiunea unui factor de risc cu o frecvență mai mică de o dată la 100 de ore. Diferența față de niște valori riguroase de 1 la 85 ore sau 1 la 79 ore este nesemnificativă, evenimentul putând fi caracterizat în toate cele trei cazuri ca fiind foarte frecvent.</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Din acest motiv, dacă utilizăm intervalele precizate în CEI 812/1985, obținem 6 grupe de evenimente, pe care le putem ordona astfel:</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extrem de rare: P &lt;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foarte rare: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-5</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rare: 10</w:t>
      </w:r>
      <w:r>
        <w:rPr>
          <w:rFonts w:eastAsia="Arial" w:cs="Arial" w:ascii="Arial" w:hAnsi="Arial"/>
          <w:color w:val="auto"/>
          <w:spacing w:val="0"/>
          <w:w w:val="100"/>
          <w:sz w:val="20"/>
          <w:szCs w:val="20"/>
          <w:vertAlign w:val="superscript"/>
          <w:lang w:val="ro-RO"/>
        </w:rPr>
        <w:t>-5</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-4</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puțin frecvente: 10</w:t>
      </w:r>
      <w:r>
        <w:rPr>
          <w:rFonts w:eastAsia="Arial" w:cs="Arial" w:ascii="Arial" w:hAnsi="Arial"/>
          <w:color w:val="auto"/>
          <w:spacing w:val="0"/>
          <w:w w:val="100"/>
          <w:sz w:val="20"/>
          <w:szCs w:val="20"/>
          <w:vertAlign w:val="superscript"/>
          <w:lang w:val="ro-RO"/>
        </w:rPr>
        <w:t>-4</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-3</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frecvente: 10</w:t>
      </w:r>
      <w:r>
        <w:rPr>
          <w:rFonts w:eastAsia="Arial" w:cs="Arial" w:ascii="Arial" w:hAnsi="Arial"/>
          <w:color w:val="auto"/>
          <w:spacing w:val="0"/>
          <w:w w:val="100"/>
          <w:sz w:val="20"/>
          <w:szCs w:val="20"/>
          <w:vertAlign w:val="superscript"/>
          <w:lang w:val="ro-RO"/>
        </w:rPr>
        <w:t>-3</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foarte frecvente: P &gt; 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Vom atribui acum fiecărei grupe o clasă de probabilitate, de la 1 la 6, așa încât vom spune că evenimentul E</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a cărui frecvență probabilă de producere este de P</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xml:space="preserve"> &lt;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 xml:space="preserve">/h, este de clasa 1 de probabilitate, iar evenimentul E</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cu frecvența P</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xml:space="preserve"> &gt; 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 este de clasa a 6-a de probabilitate. Obținem o scală de cotare a probabilității cum este cea din Anexa 3.</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 xml:space="preserve"> Având la dispoziție aceste două scale – de cotare a probabilității și a gravității consecințelor acțiunii factorilor de risc (Anexa 3) – putem să asociem fiecărui factor de risc dintr-un sistem un cuplu de elemente caracteristice, gravitate – probabilitate, pentru fiecare cuplu stabilindu-se un nivel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Pentru atribuirea nivelurilor de risc, respectiv de securitate, s-a utilizat curba de acceptabilitate a riscului.</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Mai întâi, deoarece gravitatea este un element mai important din punctul de vedere al finalității protecției muncii, s-a admis ipoteza că are o incidență mult mai mare asupra nivelului de risc decât frecvența. În consecință, corespunzător celor 7 clase de gravitate s-au stabilit 7 niveluri de risc, în ordine crescătoare, respectiv 7 niveluri de securitate, dată fiind relația invers proporțională între cele două stări (risc –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1</w:t>
      </w:r>
      <w:r>
        <w:rPr>
          <w:rFonts w:eastAsia="Arial" w:cs="Arial" w:ascii="Arial" w:hAnsi="Arial"/>
          <w:b w:val="false"/>
          <w:color w:val="auto"/>
          <w:sz w:val="20"/>
          <w:szCs w:val="20"/>
          <w:lang w:val="ro-RO"/>
        </w:rPr>
        <w:t xml:space="preserve"> – nivel minim de risc → S</w:t>
      </w:r>
      <w:r>
        <w:rPr>
          <w:rFonts w:eastAsia="Arial" w:cs="Arial" w:ascii="Arial" w:hAnsi="Arial"/>
          <w:b w:val="false"/>
          <w:color w:val="auto"/>
          <w:sz w:val="20"/>
          <w:szCs w:val="20"/>
          <w:vertAlign w:val="subscript"/>
          <w:lang w:val="ro-RO"/>
        </w:rPr>
        <w:t xml:space="preserve">7</w:t>
      </w:r>
      <w:r>
        <w:rPr>
          <w:rFonts w:eastAsia="Arial" w:cs="Arial" w:ascii="Arial" w:hAnsi="Arial"/>
          <w:b w:val="false"/>
          <w:color w:val="auto"/>
          <w:sz w:val="20"/>
          <w:szCs w:val="20"/>
          <w:lang w:val="ro-RO"/>
        </w:rPr>
        <w:t xml:space="preserve"> – nivel maxim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2</w:t>
      </w:r>
      <w:r>
        <w:rPr>
          <w:rFonts w:eastAsia="Arial" w:cs="Arial" w:ascii="Arial" w:hAnsi="Arial"/>
          <w:b w:val="false"/>
          <w:color w:val="auto"/>
          <w:sz w:val="20"/>
          <w:szCs w:val="20"/>
          <w:lang w:val="ro-RO"/>
        </w:rPr>
        <w:t xml:space="preserve"> – nivel foarte mic de risc → S</w:t>
      </w:r>
      <w:r>
        <w:rPr>
          <w:rFonts w:eastAsia="Arial" w:cs="Arial" w:ascii="Arial" w:hAnsi="Arial"/>
          <w:b w:val="false"/>
          <w:color w:val="auto"/>
          <w:sz w:val="20"/>
          <w:szCs w:val="20"/>
          <w:vertAlign w:val="subscript"/>
          <w:lang w:val="ro-RO"/>
        </w:rPr>
        <w:t xml:space="preserve">6</w:t>
      </w:r>
      <w:r>
        <w:rPr>
          <w:rFonts w:eastAsia="Arial" w:cs="Arial" w:ascii="Arial" w:hAnsi="Arial"/>
          <w:b w:val="false"/>
          <w:color w:val="auto"/>
          <w:sz w:val="20"/>
          <w:szCs w:val="20"/>
          <w:lang w:val="ro-RO"/>
        </w:rPr>
        <w:t xml:space="preserve"> – nivel foarte mare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3</w:t>
      </w:r>
      <w:r>
        <w:rPr>
          <w:rFonts w:eastAsia="Arial" w:cs="Arial" w:ascii="Arial" w:hAnsi="Arial"/>
          <w:b w:val="false"/>
          <w:color w:val="auto"/>
          <w:sz w:val="20"/>
          <w:szCs w:val="20"/>
          <w:lang w:val="ro-RO"/>
        </w:rPr>
        <w:t xml:space="preserve"> – nivel mic de risc → S</w:t>
      </w:r>
      <w:r>
        <w:rPr>
          <w:rFonts w:eastAsia="Arial" w:cs="Arial" w:ascii="Arial" w:hAnsi="Arial"/>
          <w:b w:val="false"/>
          <w:color w:val="auto"/>
          <w:sz w:val="20"/>
          <w:szCs w:val="20"/>
          <w:vertAlign w:val="subscript"/>
          <w:lang w:val="ro-RO"/>
        </w:rPr>
        <w:t xml:space="preserve">5</w:t>
      </w:r>
      <w:r>
        <w:rPr>
          <w:rFonts w:eastAsia="Arial" w:cs="Arial" w:ascii="Arial" w:hAnsi="Arial"/>
          <w:b w:val="false"/>
          <w:color w:val="auto"/>
          <w:sz w:val="20"/>
          <w:szCs w:val="20"/>
          <w:lang w:val="ro-RO"/>
        </w:rPr>
        <w:t xml:space="preserve"> – nivel mare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4</w:t>
      </w:r>
      <w:r>
        <w:rPr>
          <w:rFonts w:eastAsia="Arial" w:cs="Arial" w:ascii="Arial" w:hAnsi="Arial"/>
          <w:b w:val="false"/>
          <w:color w:val="auto"/>
          <w:sz w:val="20"/>
          <w:szCs w:val="20"/>
          <w:lang w:val="ro-RO"/>
        </w:rPr>
        <w:t xml:space="preserve"> – nivel mediu de risc → S</w:t>
      </w:r>
      <w:r>
        <w:rPr>
          <w:rFonts w:eastAsia="Arial" w:cs="Arial" w:ascii="Arial" w:hAnsi="Arial"/>
          <w:b w:val="false"/>
          <w:color w:val="auto"/>
          <w:sz w:val="20"/>
          <w:szCs w:val="20"/>
          <w:vertAlign w:val="subscript"/>
          <w:lang w:val="ro-RO"/>
        </w:rPr>
        <w:t xml:space="preserve">4</w:t>
      </w:r>
      <w:r>
        <w:rPr>
          <w:rFonts w:eastAsia="Arial" w:cs="Arial" w:ascii="Arial" w:hAnsi="Arial"/>
          <w:b w:val="false"/>
          <w:color w:val="auto"/>
          <w:sz w:val="20"/>
          <w:szCs w:val="20"/>
          <w:lang w:val="ro-RO"/>
        </w:rPr>
        <w:t xml:space="preserve"> – nivel mediu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5</w:t>
      </w:r>
      <w:r>
        <w:rPr>
          <w:rFonts w:eastAsia="Arial" w:cs="Arial" w:ascii="Arial" w:hAnsi="Arial"/>
          <w:b w:val="false"/>
          <w:color w:val="auto"/>
          <w:sz w:val="20"/>
          <w:szCs w:val="20"/>
          <w:lang w:val="ro-RO"/>
        </w:rPr>
        <w:t xml:space="preserve"> – nivel mare de risc → S</w:t>
      </w:r>
      <w:r>
        <w:rPr>
          <w:rFonts w:eastAsia="Arial" w:cs="Arial" w:ascii="Arial" w:hAnsi="Arial"/>
          <w:b w:val="false"/>
          <w:color w:val="auto"/>
          <w:sz w:val="20"/>
          <w:szCs w:val="20"/>
          <w:vertAlign w:val="subscript"/>
          <w:lang w:val="ro-RO"/>
        </w:rPr>
        <w:t xml:space="preserve">3</w:t>
      </w:r>
      <w:r>
        <w:rPr>
          <w:rFonts w:eastAsia="Arial" w:cs="Arial" w:ascii="Arial" w:hAnsi="Arial"/>
          <w:b w:val="false"/>
          <w:color w:val="auto"/>
          <w:sz w:val="20"/>
          <w:szCs w:val="20"/>
          <w:lang w:val="ro-RO"/>
        </w:rPr>
        <w:t xml:space="preserve"> – nivel mic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6</w:t>
      </w:r>
      <w:r>
        <w:rPr>
          <w:rFonts w:eastAsia="Arial" w:cs="Arial" w:ascii="Arial" w:hAnsi="Arial"/>
          <w:b w:val="false"/>
          <w:color w:val="auto"/>
          <w:sz w:val="20"/>
          <w:szCs w:val="20"/>
          <w:lang w:val="ro-RO"/>
        </w:rPr>
        <w:t xml:space="preserve"> – nivel foarte mare de risc → S</w:t>
      </w:r>
      <w:r>
        <w:rPr>
          <w:rFonts w:eastAsia="Arial" w:cs="Arial" w:ascii="Arial" w:hAnsi="Arial"/>
          <w:b w:val="false"/>
          <w:color w:val="auto"/>
          <w:sz w:val="20"/>
          <w:szCs w:val="20"/>
          <w:vertAlign w:val="subscript"/>
          <w:lang w:val="ro-RO"/>
        </w:rPr>
        <w:t xml:space="preserve">2</w:t>
      </w:r>
      <w:r>
        <w:rPr>
          <w:rFonts w:eastAsia="Arial" w:cs="Arial" w:ascii="Arial" w:hAnsi="Arial"/>
          <w:b w:val="false"/>
          <w:color w:val="auto"/>
          <w:sz w:val="20"/>
          <w:szCs w:val="20"/>
          <w:lang w:val="ro-RO"/>
        </w:rPr>
        <w:t xml:space="preserve"> – nivel foarte mic de securitate;</w:t>
      </w:r>
    </w:p>
    <w:p>
      <w:pPr>
        <w:pStyle w:val="Normal"/>
        <w:keepNext w:val="false"/>
        <w:pageBreakBefore w:val="false"/>
        <w:widowControl/>
        <w:numPr>
          <w:ilvl w:val="0"/>
          <w:numId w:val="0"/>
        </w:numPr>
        <w:spacing w:before="0" w:after="12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7</w:t>
      </w:r>
      <w:r>
        <w:rPr>
          <w:rFonts w:eastAsia="Arial" w:cs="Arial" w:ascii="Arial" w:hAnsi="Arial"/>
          <w:b w:val="false"/>
          <w:color w:val="auto"/>
          <w:sz w:val="20"/>
          <w:szCs w:val="20"/>
          <w:lang w:val="ro-RO"/>
        </w:rPr>
        <w:t xml:space="preserve"> – nivel maxim de risc → S</w:t>
      </w:r>
      <w:r>
        <w:rPr>
          <w:rFonts w:eastAsia="Arial" w:cs="Arial" w:ascii="Arial" w:hAnsi="Arial"/>
          <w:b w:val="false"/>
          <w:color w:val="auto"/>
          <w:sz w:val="20"/>
          <w:szCs w:val="20"/>
          <w:vertAlign w:val="subscript"/>
          <w:lang w:val="ro-RO"/>
        </w:rPr>
        <w:t xml:space="preserve">1</w:t>
      </w:r>
      <w:r>
        <w:rPr>
          <w:rFonts w:eastAsia="Arial" w:cs="Arial" w:ascii="Arial" w:hAnsi="Arial"/>
          <w:b w:val="false"/>
          <w:color w:val="auto"/>
          <w:sz w:val="20"/>
          <w:szCs w:val="20"/>
          <w:lang w:val="ro-RO"/>
        </w:rPr>
        <w:t xml:space="preserve"> – nivel minim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Dacă luăm în considerare toate combinațiile posibile ale variabilelor specificate, câte două, obținem o matrice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cu 7 linii – g, care vor reprezenta clasele de gravitate, și 6 coloane – p – clasele de probabilitate:</w:t>
      </w:r>
    </w:p>
    <w:p>
      <w:pPr>
        <w:pStyle w:val="Normal"/>
        <w:widowControl/>
        <w:tabs>
          <w:tab w:val="left" w:pos="720" w:leader="none"/>
          <w:tab w:val="left" w:pos="900" w:leader="none"/>
          <w:tab w:val="left" w:pos="1710" w:leader="none"/>
          <w:tab w:val="left" w:pos="288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r>
      <m:oMath xmlns:m="http://schemas.openxmlformats.org/officeDocument/2006/math">
        <m:d>
          <m:dPr>
            <m:begChr m:val="‖"/>
            <m:endChr m:val="‖"/>
          </m:dPr>
          <m:e>
            <m:m>
              <m:mr>
                <m:e>
                  <m:r>
                    <w:rPr>
                      <w:rFonts w:ascii="Cambria Math" w:hAnsi="Cambria Math"/>
                    </w:rPr>
                    <m:t xml:space="preserve">(</m:t>
                  </m:r>
                  <m:r>
                    <w:rPr>
                      <w:rFonts w:ascii="Cambria Math" w:hAnsi="Cambria Math"/>
                    </w:rPr>
                    <m:t xml:space="preserve">1,1</m:t>
                  </m:r>
                  <m:r>
                    <w:rPr>
                      <w:rFonts w:ascii="Cambria Math" w:hAnsi="Cambria Math"/>
                    </w:rPr>
                    <m:t xml:space="preserve">)</m:t>
                  </m:r>
                </m:e>
                <m:e>
                  <m:r>
                    <w:rPr>
                      <w:rFonts w:ascii="Cambria Math" w:hAnsi="Cambria Math"/>
                    </w:rPr>
                    <m:t xml:space="preserve">(</m:t>
                  </m:r>
                  <m:r>
                    <w:rPr>
                      <w:rFonts w:ascii="Cambria Math" w:hAnsi="Cambria Math"/>
                    </w:rPr>
                    <m:t xml:space="preserve">1,2</m:t>
                  </m:r>
                  <m:r>
                    <w:rPr>
                      <w:rFonts w:ascii="Cambria Math" w:hAnsi="Cambria Math"/>
                    </w:rPr>
                    <m:t xml:space="preserve">)</m:t>
                  </m:r>
                </m:e>
                <m:e>
                  <m:r>
                    <w:rPr>
                      <w:rFonts w:ascii="Cambria Math" w:hAnsi="Cambria Math"/>
                    </w:rPr>
                    <m:t xml:space="preserve">(</m:t>
                  </m:r>
                  <m:r>
                    <w:rPr>
                      <w:rFonts w:ascii="Cambria Math" w:hAnsi="Cambria Math"/>
                    </w:rPr>
                    <m:t xml:space="preserve">1,3</m:t>
                  </m:r>
                  <m:r>
                    <w:rPr>
                      <w:rFonts w:ascii="Cambria Math" w:hAnsi="Cambria Math"/>
                    </w:rPr>
                    <m:t xml:space="preserve">)</m:t>
                  </m:r>
                </m:e>
                <m:e>
                  <m:r>
                    <w:rPr>
                      <w:rFonts w:ascii="Cambria Math" w:hAnsi="Cambria Math"/>
                    </w:rPr>
                    <m:t xml:space="preserve">(</m:t>
                  </m:r>
                  <m:r>
                    <w:rPr>
                      <w:rFonts w:ascii="Cambria Math" w:hAnsi="Cambria Math"/>
                    </w:rPr>
                    <m:t xml:space="preserve">1,4</m:t>
                  </m:r>
                  <m:r>
                    <w:rPr>
                      <w:rFonts w:ascii="Cambria Math" w:hAnsi="Cambria Math"/>
                    </w:rPr>
                    <m:t xml:space="preserve">)</m:t>
                  </m:r>
                </m:e>
                <m:e>
                  <m:r>
                    <w:rPr>
                      <w:rFonts w:ascii="Cambria Math" w:hAnsi="Cambria Math"/>
                    </w:rPr>
                    <m:t xml:space="preserve">(</m:t>
                  </m:r>
                  <m:r>
                    <w:rPr>
                      <w:rFonts w:ascii="Cambria Math" w:hAnsi="Cambria Math"/>
                    </w:rPr>
                    <m:t xml:space="preserve">1,5</m:t>
                  </m:r>
                  <m:r>
                    <w:rPr>
                      <w:rFonts w:ascii="Cambria Math" w:hAnsi="Cambria Math"/>
                    </w:rPr>
                    <m:t xml:space="preserve">)</m:t>
                  </m:r>
                </m:e>
                <m:e>
                  <m:r>
                    <w:rPr>
                      <w:rFonts w:ascii="Cambria Math" w:hAnsi="Cambria Math"/>
                    </w:rPr>
                    <m:t xml:space="preserve">(</m:t>
                  </m:r>
                  <m:r>
                    <w:rPr>
                      <w:rFonts w:ascii="Cambria Math" w:hAnsi="Cambria Math"/>
                    </w:rPr>
                    <m:t xml:space="preserve">1,6</m:t>
                  </m:r>
                  <m:r>
                    <w:rPr>
                      <w:rFonts w:ascii="Cambria Math" w:hAnsi="Cambria Math"/>
                    </w:rPr>
                    <m:t xml:space="preserve">)</m:t>
                  </m:r>
                </m:e>
              </m:mr>
              <m:mr>
                <m:e>
                  <m:r>
                    <w:rPr>
                      <w:rFonts w:ascii="Cambria Math" w:hAnsi="Cambria Math"/>
                    </w:rPr>
                    <m:t xml:space="preserve">(</m:t>
                  </m:r>
                  <m:r>
                    <w:rPr>
                      <w:rFonts w:ascii="Cambria Math" w:hAnsi="Cambria Math"/>
                    </w:rPr>
                    <m:t xml:space="preserve">2,1</m:t>
                  </m:r>
                  <m:r>
                    <w:rPr>
                      <w:rFonts w:ascii="Cambria Math" w:hAnsi="Cambria Math"/>
                    </w:rPr>
                    <m:t xml:space="preserve">)</m:t>
                  </m:r>
                </m:e>
                <m:e>
                  <m:r>
                    <w:rPr>
                      <w:rFonts w:ascii="Cambria Math" w:hAnsi="Cambria Math"/>
                    </w:rPr>
                    <m:t xml:space="preserve">(</m:t>
                  </m:r>
                  <m:r>
                    <w:rPr>
                      <w:rFonts w:ascii="Cambria Math" w:hAnsi="Cambria Math"/>
                    </w:rPr>
                    <m:t xml:space="preserve">2,2</m:t>
                  </m:r>
                  <m:r>
                    <w:rPr>
                      <w:rFonts w:ascii="Cambria Math" w:hAnsi="Cambria Math"/>
                    </w:rPr>
                    <m:t xml:space="preserve">)</m:t>
                  </m:r>
                </m:e>
                <m:e>
                  <m:r>
                    <w:rPr>
                      <w:rFonts w:ascii="Cambria Math" w:hAnsi="Cambria Math"/>
                    </w:rPr>
                    <m:t xml:space="preserve">(</m:t>
                  </m:r>
                  <m:r>
                    <w:rPr>
                      <w:rFonts w:ascii="Cambria Math" w:hAnsi="Cambria Math"/>
                    </w:rPr>
                    <m:t xml:space="preserve">2,3</m:t>
                  </m:r>
                  <m:r>
                    <w:rPr>
                      <w:rFonts w:ascii="Cambria Math" w:hAnsi="Cambria Math"/>
                    </w:rPr>
                    <m:t xml:space="preserve">)</m:t>
                  </m:r>
                </m:e>
                <m:e>
                  <m:r>
                    <w:rPr>
                      <w:rFonts w:ascii="Cambria Math" w:hAnsi="Cambria Math"/>
                    </w:rPr>
                    <m:t xml:space="preserve">(</m:t>
                  </m:r>
                  <m:r>
                    <w:rPr>
                      <w:rFonts w:ascii="Cambria Math" w:hAnsi="Cambria Math"/>
                    </w:rPr>
                    <m:t xml:space="preserve">2,4</m:t>
                  </m:r>
                  <m:r>
                    <w:rPr>
                      <w:rFonts w:ascii="Cambria Math" w:hAnsi="Cambria Math"/>
                    </w:rPr>
                    <m:t xml:space="preserve">)</m:t>
                  </m:r>
                </m:e>
                <m:e>
                  <m:r>
                    <w:rPr>
                      <w:rFonts w:ascii="Cambria Math" w:hAnsi="Cambria Math"/>
                    </w:rPr>
                    <m:t xml:space="preserve">(</m:t>
                  </m:r>
                  <m:r>
                    <w:rPr>
                      <w:rFonts w:ascii="Cambria Math" w:hAnsi="Cambria Math"/>
                    </w:rPr>
                    <m:t xml:space="preserve">2,5</m:t>
                  </m:r>
                  <m:r>
                    <w:rPr>
                      <w:rFonts w:ascii="Cambria Math" w:hAnsi="Cambria Math"/>
                    </w:rPr>
                    <m:t xml:space="preserve">)</m:t>
                  </m:r>
                </m:e>
                <m:e>
                  <m:r>
                    <w:rPr>
                      <w:rFonts w:ascii="Cambria Math" w:hAnsi="Cambria Math"/>
                    </w:rPr>
                    <m:t xml:space="preserve">(</m:t>
                  </m:r>
                  <m:r>
                    <w:rPr>
                      <w:rFonts w:ascii="Cambria Math" w:hAnsi="Cambria Math"/>
                    </w:rPr>
                    <m:t xml:space="preserve">2,6</m:t>
                  </m:r>
                  <m:r>
                    <w:rPr>
                      <w:rFonts w:ascii="Cambria Math" w:hAnsi="Cambria Math"/>
                    </w:rPr>
                    <m:t xml:space="preserve">)</m:t>
                  </m:r>
                </m:e>
              </m:mr>
              <m:mr>
                <m:e>
                  <m:r>
                    <w:rPr>
                      <w:rFonts w:ascii="Cambria Math" w:hAnsi="Cambria Math"/>
                    </w:rPr>
                    <m:t xml:space="preserve">(</m:t>
                  </m:r>
                  <m:r>
                    <w:rPr>
                      <w:rFonts w:ascii="Cambria Math" w:hAnsi="Cambria Math"/>
                    </w:rPr>
                    <m:t xml:space="preserve">3,1</m:t>
                  </m:r>
                  <m:r>
                    <w:rPr>
                      <w:rFonts w:ascii="Cambria Math" w:hAnsi="Cambria Math"/>
                    </w:rPr>
                    <m:t xml:space="preserve">)</m:t>
                  </m:r>
                </m:e>
                <m:e>
                  <m:r>
                    <w:rPr>
                      <w:rFonts w:ascii="Cambria Math" w:hAnsi="Cambria Math"/>
                    </w:rPr>
                    <m:t xml:space="preserve">(</m:t>
                  </m:r>
                  <m:r>
                    <w:rPr>
                      <w:rFonts w:ascii="Cambria Math" w:hAnsi="Cambria Math"/>
                    </w:rPr>
                    <m:t xml:space="preserve">3,2</m:t>
                  </m:r>
                  <m:r>
                    <w:rPr>
                      <w:rFonts w:ascii="Cambria Math" w:hAnsi="Cambria Math"/>
                    </w:rPr>
                    <m:t xml:space="preserve">)</m:t>
                  </m:r>
                </m:e>
                <m:e>
                  <m:r>
                    <w:rPr>
                      <w:rFonts w:ascii="Cambria Math" w:hAnsi="Cambria Math"/>
                    </w:rPr>
                    <m:t xml:space="preserve">(</m:t>
                  </m:r>
                  <m:r>
                    <w:rPr>
                      <w:rFonts w:ascii="Cambria Math" w:hAnsi="Cambria Math"/>
                    </w:rPr>
                    <m:t xml:space="preserve">3,3</m:t>
                  </m:r>
                  <m:r>
                    <w:rPr>
                      <w:rFonts w:ascii="Cambria Math" w:hAnsi="Cambria Math"/>
                    </w:rPr>
                    <m:t xml:space="preserve">)</m:t>
                  </m:r>
                </m:e>
                <m:e>
                  <m:r>
                    <w:rPr>
                      <w:rFonts w:ascii="Cambria Math" w:hAnsi="Cambria Math"/>
                    </w:rPr>
                    <m:t xml:space="preserve">(</m:t>
                  </m:r>
                  <m:r>
                    <w:rPr>
                      <w:rFonts w:ascii="Cambria Math" w:hAnsi="Cambria Math"/>
                    </w:rPr>
                    <m:t xml:space="preserve">3,4</m:t>
                  </m:r>
                  <m:r>
                    <w:rPr>
                      <w:rFonts w:ascii="Cambria Math" w:hAnsi="Cambria Math"/>
                    </w:rPr>
                    <m:t xml:space="preserve">)</m:t>
                  </m:r>
                </m:e>
                <m:e>
                  <m:r>
                    <w:rPr>
                      <w:rFonts w:ascii="Cambria Math" w:hAnsi="Cambria Math"/>
                    </w:rPr>
                    <m:t xml:space="preserve">(</m:t>
                  </m:r>
                  <m:r>
                    <w:rPr>
                      <w:rFonts w:ascii="Cambria Math" w:hAnsi="Cambria Math"/>
                    </w:rPr>
                    <m:t xml:space="preserve">3,5</m:t>
                  </m:r>
                  <m:r>
                    <w:rPr>
                      <w:rFonts w:ascii="Cambria Math" w:hAnsi="Cambria Math"/>
                    </w:rPr>
                    <m:t xml:space="preserve">)</m:t>
                  </m:r>
                </m:e>
                <m:e>
                  <m:r>
                    <w:rPr>
                      <w:rFonts w:ascii="Cambria Math" w:hAnsi="Cambria Math"/>
                    </w:rPr>
                    <m:t xml:space="preserve">(</m:t>
                  </m:r>
                  <m:r>
                    <w:rPr>
                      <w:rFonts w:ascii="Cambria Math" w:hAnsi="Cambria Math"/>
                    </w:rPr>
                    <m:t xml:space="preserve">3,6</m:t>
                  </m:r>
                  <m:r>
                    <w:rPr>
                      <w:rFonts w:ascii="Cambria Math" w:hAnsi="Cambria Math"/>
                    </w:rPr>
                    <m:t xml:space="preserve">)</m:t>
                  </m:r>
                </m:e>
              </m:mr>
              <m:mr>
                <m:e>
                  <m:r>
                    <w:rPr>
                      <w:rFonts w:ascii="Cambria Math" w:hAnsi="Cambria Math"/>
                    </w:rPr>
                    <m:t xml:space="preserve">(</m:t>
                  </m:r>
                  <m:r>
                    <w:rPr>
                      <w:rFonts w:ascii="Cambria Math" w:hAnsi="Cambria Math"/>
                    </w:rPr>
                    <m:t xml:space="preserve">4,1</m:t>
                  </m:r>
                  <m:r>
                    <w:rPr>
                      <w:rFonts w:ascii="Cambria Math" w:hAnsi="Cambria Math"/>
                    </w:rPr>
                    <m:t xml:space="preserve">)</m:t>
                  </m:r>
                </m:e>
                <m:e>
                  <m:r>
                    <w:rPr>
                      <w:rFonts w:ascii="Cambria Math" w:hAnsi="Cambria Math"/>
                    </w:rPr>
                    <m:t xml:space="preserve">(</m:t>
                  </m:r>
                  <m:r>
                    <w:rPr>
                      <w:rFonts w:ascii="Cambria Math" w:hAnsi="Cambria Math"/>
                    </w:rPr>
                    <m:t xml:space="preserve">4,2</m:t>
                  </m:r>
                  <m:r>
                    <w:rPr>
                      <w:rFonts w:ascii="Cambria Math" w:hAnsi="Cambria Math"/>
                    </w:rPr>
                    <m:t xml:space="preserve">)</m:t>
                  </m:r>
                </m:e>
                <m:e>
                  <m:r>
                    <w:rPr>
                      <w:rFonts w:ascii="Cambria Math" w:hAnsi="Cambria Math"/>
                    </w:rPr>
                    <m:t xml:space="preserve">(</m:t>
                  </m:r>
                  <m:r>
                    <w:rPr>
                      <w:rFonts w:ascii="Cambria Math" w:hAnsi="Cambria Math"/>
                    </w:rPr>
                    <m:t xml:space="preserve">4,3</m:t>
                  </m:r>
                  <m:r>
                    <w:rPr>
                      <w:rFonts w:ascii="Cambria Math" w:hAnsi="Cambria Math"/>
                    </w:rPr>
                    <m:t xml:space="preserve">)</m:t>
                  </m:r>
                </m:e>
                <m:e>
                  <m:r>
                    <w:rPr>
                      <w:rFonts w:ascii="Cambria Math" w:hAnsi="Cambria Math"/>
                    </w:rPr>
                    <m:t xml:space="preserve">(</m:t>
                  </m:r>
                  <m:r>
                    <w:rPr>
                      <w:rFonts w:ascii="Cambria Math" w:hAnsi="Cambria Math"/>
                    </w:rPr>
                    <m:t xml:space="preserve">4,4</m:t>
                  </m:r>
                  <m:r>
                    <w:rPr>
                      <w:rFonts w:ascii="Cambria Math" w:hAnsi="Cambria Math"/>
                    </w:rPr>
                    <m:t xml:space="preserve">)</m:t>
                  </m:r>
                </m:e>
                <m:e>
                  <m:r>
                    <w:rPr>
                      <w:rFonts w:ascii="Cambria Math" w:hAnsi="Cambria Math"/>
                    </w:rPr>
                    <m:t xml:space="preserve">(</m:t>
                  </m:r>
                  <m:r>
                    <w:rPr>
                      <w:rFonts w:ascii="Cambria Math" w:hAnsi="Cambria Math"/>
                    </w:rPr>
                    <m:t xml:space="preserve">4,5</m:t>
                  </m:r>
                  <m:r>
                    <w:rPr>
                      <w:rFonts w:ascii="Cambria Math" w:hAnsi="Cambria Math"/>
                    </w:rPr>
                    <m:t xml:space="preserve">)</m:t>
                  </m:r>
                </m:e>
                <m:e>
                  <m:r>
                    <w:rPr>
                      <w:rFonts w:ascii="Cambria Math" w:hAnsi="Cambria Math"/>
                    </w:rPr>
                    <m:t xml:space="preserve">(</m:t>
                  </m:r>
                  <m:r>
                    <w:rPr>
                      <w:rFonts w:ascii="Cambria Math" w:hAnsi="Cambria Math"/>
                    </w:rPr>
                    <m:t xml:space="preserve">4,6</m:t>
                  </m:r>
                  <m:r>
                    <w:rPr>
                      <w:rFonts w:ascii="Cambria Math" w:hAnsi="Cambria Math"/>
                    </w:rPr>
                    <m:t xml:space="preserve">)</m:t>
                  </m:r>
                </m:e>
              </m:mr>
              <m:mr>
                <m:e>
                  <m:r>
                    <w:rPr>
                      <w:rFonts w:ascii="Cambria Math" w:hAnsi="Cambria Math"/>
                    </w:rPr>
                    <m:t xml:space="preserve">(</m:t>
                  </m:r>
                  <m:r>
                    <w:rPr>
                      <w:rFonts w:ascii="Cambria Math" w:hAnsi="Cambria Math"/>
                    </w:rPr>
                    <m:t xml:space="preserve">5,1</m:t>
                  </m:r>
                  <m:r>
                    <w:rPr>
                      <w:rFonts w:ascii="Cambria Math" w:hAnsi="Cambria Math"/>
                    </w:rPr>
                    <m:t xml:space="preserve">)</m:t>
                  </m:r>
                </m:e>
                <m:e>
                  <m:r>
                    <w:rPr>
                      <w:rFonts w:ascii="Cambria Math" w:hAnsi="Cambria Math"/>
                    </w:rPr>
                    <m:t xml:space="preserve">(</m:t>
                  </m:r>
                  <m:r>
                    <w:rPr>
                      <w:rFonts w:ascii="Cambria Math" w:hAnsi="Cambria Math"/>
                    </w:rPr>
                    <m:t xml:space="preserve">5,2</m:t>
                  </m:r>
                  <m:r>
                    <w:rPr>
                      <w:rFonts w:ascii="Cambria Math" w:hAnsi="Cambria Math"/>
                    </w:rPr>
                    <m:t xml:space="preserve">)</m:t>
                  </m:r>
                </m:e>
                <m:e>
                  <m:r>
                    <w:rPr>
                      <w:rFonts w:ascii="Cambria Math" w:hAnsi="Cambria Math"/>
                    </w:rPr>
                    <m:t xml:space="preserve">(</m:t>
                  </m:r>
                  <m:r>
                    <w:rPr>
                      <w:rFonts w:ascii="Cambria Math" w:hAnsi="Cambria Math"/>
                    </w:rPr>
                    <m:t xml:space="preserve">5,3</m:t>
                  </m:r>
                  <m:r>
                    <w:rPr>
                      <w:rFonts w:ascii="Cambria Math" w:hAnsi="Cambria Math"/>
                    </w:rPr>
                    <m:t xml:space="preserve">)</m:t>
                  </m:r>
                </m:e>
                <m:e>
                  <m:r>
                    <w:rPr>
                      <w:rFonts w:ascii="Cambria Math" w:hAnsi="Cambria Math"/>
                    </w:rPr>
                    <m:t xml:space="preserve">(</m:t>
                  </m:r>
                  <m:r>
                    <w:rPr>
                      <w:rFonts w:ascii="Cambria Math" w:hAnsi="Cambria Math"/>
                    </w:rPr>
                    <m:t xml:space="preserve">5,4</m:t>
                  </m:r>
                  <m:r>
                    <w:rPr>
                      <w:rFonts w:ascii="Cambria Math" w:hAnsi="Cambria Math"/>
                    </w:rPr>
                    <m:t xml:space="preserve">)</m:t>
                  </m:r>
                </m:e>
                <m:e>
                  <m:r>
                    <w:rPr>
                      <w:rFonts w:ascii="Cambria Math" w:hAnsi="Cambria Math"/>
                    </w:rPr>
                    <m:t xml:space="preserve">(</m:t>
                  </m:r>
                  <m:r>
                    <w:rPr>
                      <w:rFonts w:ascii="Cambria Math" w:hAnsi="Cambria Math"/>
                    </w:rPr>
                    <m:t xml:space="preserve">5,5</m:t>
                  </m:r>
                  <m:r>
                    <w:rPr>
                      <w:rFonts w:ascii="Cambria Math" w:hAnsi="Cambria Math"/>
                    </w:rPr>
                    <m:t xml:space="preserve">)</m:t>
                  </m:r>
                </m:e>
                <m:e>
                  <m:r>
                    <w:rPr>
                      <w:rFonts w:ascii="Cambria Math" w:hAnsi="Cambria Math"/>
                    </w:rPr>
                    <m:t xml:space="preserve">(</m:t>
                  </m:r>
                  <m:r>
                    <w:rPr>
                      <w:rFonts w:ascii="Cambria Math" w:hAnsi="Cambria Math"/>
                    </w:rPr>
                    <m:t xml:space="preserve">5,6</m:t>
                  </m:r>
                  <m:r>
                    <w:rPr>
                      <w:rFonts w:ascii="Cambria Math" w:hAnsi="Cambria Math"/>
                    </w:rPr>
                    <m:t xml:space="preserve">)</m:t>
                  </m:r>
                </m:e>
              </m:mr>
              <m:mr>
                <m:e>
                  <m:r>
                    <w:rPr>
                      <w:rFonts w:ascii="Cambria Math" w:hAnsi="Cambria Math"/>
                    </w:rPr>
                    <m:t xml:space="preserve">(</m:t>
                  </m:r>
                  <m:r>
                    <w:rPr>
                      <w:rFonts w:ascii="Cambria Math" w:hAnsi="Cambria Math"/>
                    </w:rPr>
                    <m:t xml:space="preserve">6,1</m:t>
                  </m:r>
                  <m:r>
                    <w:rPr>
                      <w:rFonts w:ascii="Cambria Math" w:hAnsi="Cambria Math"/>
                    </w:rPr>
                    <m:t xml:space="preserve">)</m:t>
                  </m:r>
                </m:e>
                <m:e>
                  <m:r>
                    <w:rPr>
                      <w:rFonts w:ascii="Cambria Math" w:hAnsi="Cambria Math"/>
                    </w:rPr>
                    <m:t xml:space="preserve">(</m:t>
                  </m:r>
                  <m:r>
                    <w:rPr>
                      <w:rFonts w:ascii="Cambria Math" w:hAnsi="Cambria Math"/>
                    </w:rPr>
                    <m:t xml:space="preserve">6,2</m:t>
                  </m:r>
                  <m:r>
                    <w:rPr>
                      <w:rFonts w:ascii="Cambria Math" w:hAnsi="Cambria Math"/>
                    </w:rPr>
                    <m:t xml:space="preserve">)</m:t>
                  </m:r>
                </m:e>
                <m:e>
                  <m:r>
                    <w:rPr>
                      <w:rFonts w:ascii="Cambria Math" w:hAnsi="Cambria Math"/>
                    </w:rPr>
                    <m:t xml:space="preserve">(</m:t>
                  </m:r>
                  <m:r>
                    <w:rPr>
                      <w:rFonts w:ascii="Cambria Math" w:hAnsi="Cambria Math"/>
                    </w:rPr>
                    <m:t xml:space="preserve">6,3</m:t>
                  </m:r>
                  <m:r>
                    <w:rPr>
                      <w:rFonts w:ascii="Cambria Math" w:hAnsi="Cambria Math"/>
                    </w:rPr>
                    <m:t xml:space="preserve">)</m:t>
                  </m:r>
                </m:e>
                <m:e>
                  <m:r>
                    <w:rPr>
                      <w:rFonts w:ascii="Cambria Math" w:hAnsi="Cambria Math"/>
                    </w:rPr>
                    <m:t xml:space="preserve">(</m:t>
                  </m:r>
                  <m:r>
                    <w:rPr>
                      <w:rFonts w:ascii="Cambria Math" w:hAnsi="Cambria Math"/>
                    </w:rPr>
                    <m:t xml:space="preserve">6,4</m:t>
                  </m:r>
                  <m:r>
                    <w:rPr>
                      <w:rFonts w:ascii="Cambria Math" w:hAnsi="Cambria Math"/>
                    </w:rPr>
                    <m:t xml:space="preserve">)</m:t>
                  </m:r>
                </m:e>
                <m:e>
                  <m:r>
                    <w:rPr>
                      <w:rFonts w:ascii="Cambria Math" w:hAnsi="Cambria Math"/>
                    </w:rPr>
                    <m:t xml:space="preserve">(</m:t>
                  </m:r>
                  <m:r>
                    <w:rPr>
                      <w:rFonts w:ascii="Cambria Math" w:hAnsi="Cambria Math"/>
                    </w:rPr>
                    <m:t xml:space="preserve">6,5</m:t>
                  </m:r>
                  <m:r>
                    <w:rPr>
                      <w:rFonts w:ascii="Cambria Math" w:hAnsi="Cambria Math"/>
                    </w:rPr>
                    <m:t xml:space="preserve">)</m:t>
                  </m:r>
                </m:e>
                <m:e>
                  <m:r>
                    <w:rPr>
                      <w:rFonts w:ascii="Cambria Math" w:hAnsi="Cambria Math"/>
                    </w:rPr>
                    <m:t xml:space="preserve">(</m:t>
                  </m:r>
                  <m:r>
                    <w:rPr>
                      <w:rFonts w:ascii="Cambria Math" w:hAnsi="Cambria Math"/>
                    </w:rPr>
                    <m:t xml:space="preserve">6,6</m:t>
                  </m:r>
                  <m:r>
                    <w:rPr>
                      <w:rFonts w:ascii="Cambria Math" w:hAnsi="Cambria Math"/>
                    </w:rPr>
                    <m:t xml:space="preserve">)</m:t>
                  </m:r>
                </m:e>
              </m:mr>
              <m:mr>
                <m:e>
                  <m:r>
                    <w:rPr>
                      <w:rFonts w:ascii="Cambria Math" w:hAnsi="Cambria Math"/>
                    </w:rPr>
                    <m:t xml:space="preserve">(</m:t>
                  </m:r>
                  <m:r>
                    <w:rPr>
                      <w:rFonts w:ascii="Cambria Math" w:hAnsi="Cambria Math"/>
                    </w:rPr>
                    <m:t xml:space="preserve">7,1</m:t>
                  </m:r>
                  <m:r>
                    <w:rPr>
                      <w:rFonts w:ascii="Cambria Math" w:hAnsi="Cambria Math"/>
                    </w:rPr>
                    <m:t xml:space="preserve">)</m:t>
                  </m:r>
                </m:e>
                <m:e>
                  <m:r>
                    <w:rPr>
                      <w:rFonts w:ascii="Cambria Math" w:hAnsi="Cambria Math"/>
                    </w:rPr>
                    <m:t xml:space="preserve">(</m:t>
                  </m:r>
                  <m:r>
                    <w:rPr>
                      <w:rFonts w:ascii="Cambria Math" w:hAnsi="Cambria Math"/>
                    </w:rPr>
                    <m:t xml:space="preserve">7,2</m:t>
                  </m:r>
                  <m:r>
                    <w:rPr>
                      <w:rFonts w:ascii="Cambria Math" w:hAnsi="Cambria Math"/>
                    </w:rPr>
                    <m:t xml:space="preserve">)</m:t>
                  </m:r>
                </m:e>
                <m:e>
                  <m:r>
                    <w:rPr>
                      <w:rFonts w:ascii="Cambria Math" w:hAnsi="Cambria Math"/>
                    </w:rPr>
                    <m:t xml:space="preserve">(</m:t>
                  </m:r>
                  <m:r>
                    <w:rPr>
                      <w:rFonts w:ascii="Cambria Math" w:hAnsi="Cambria Math"/>
                    </w:rPr>
                    <m:t xml:space="preserve">7,3</m:t>
                  </m:r>
                  <m:r>
                    <w:rPr>
                      <w:rFonts w:ascii="Cambria Math" w:hAnsi="Cambria Math"/>
                    </w:rPr>
                    <m:t xml:space="preserve">)</m:t>
                  </m:r>
                </m:e>
                <m:e>
                  <m:r>
                    <w:rPr>
                      <w:rFonts w:ascii="Cambria Math" w:hAnsi="Cambria Math"/>
                    </w:rPr>
                    <m:t xml:space="preserve">(</m:t>
                  </m:r>
                  <m:r>
                    <w:rPr>
                      <w:rFonts w:ascii="Cambria Math" w:hAnsi="Cambria Math"/>
                    </w:rPr>
                    <m:t xml:space="preserve">7,4</m:t>
                  </m:r>
                  <m:r>
                    <w:rPr>
                      <w:rFonts w:ascii="Cambria Math" w:hAnsi="Cambria Math"/>
                    </w:rPr>
                    <m:t xml:space="preserve">)</m:t>
                  </m:r>
                </m:e>
                <m:e>
                  <m:r>
                    <w:rPr>
                      <w:rFonts w:ascii="Cambria Math" w:hAnsi="Cambria Math"/>
                    </w:rPr>
                    <m:t xml:space="preserve">(</m:t>
                  </m:r>
                  <m:r>
                    <w:rPr>
                      <w:rFonts w:ascii="Cambria Math" w:hAnsi="Cambria Math"/>
                    </w:rPr>
                    <m:t xml:space="preserve">7,5</m:t>
                  </m:r>
                  <m:r>
                    <w:rPr>
                      <w:rFonts w:ascii="Cambria Math" w:hAnsi="Cambria Math"/>
                    </w:rPr>
                    <m:t xml:space="preserve">)</m:t>
                  </m:r>
                </m:e>
                <m:e>
                  <m:r>
                    <w:rPr>
                      <w:rFonts w:ascii="Cambria Math" w:hAnsi="Cambria Math"/>
                    </w:rPr>
                    <m:t xml:space="preserve">(</m:t>
                  </m:r>
                  <m:r>
                    <w:rPr>
                      <w:rFonts w:ascii="Cambria Math" w:hAnsi="Cambria Math"/>
                    </w:rPr>
                    <m:t xml:space="preserve">7,6</m:t>
                  </m:r>
                  <m:r>
                    <w:rPr>
                      <w:rFonts w:ascii="Cambria Math" w:hAnsi="Cambria Math"/>
                    </w:rPr>
                    <m:t xml:space="preserve">)</m:t>
                  </m:r>
                </m:e>
              </m:mr>
            </m:m>
          </m:e>
        </m:d>
      </m:oMath>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Reprezentând grafic (figura 1.4) matricea în cadrul unui sistem de coordonate rectangulare obținem un dreptunghi a cărui bază (abscisa) o constituie mulțimea claselor de probabilitate, înălțimea (ordonată) – clasele de gravitate, iar suprafața sa: mulțimea nivelurilor de risc posibile:</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nary>
            <m:naryPr>
              <m:chr m:val="∑"/>
            </m:naryPr>
            <m:sub>
              <m:r>
                <w:rPr>
                  <w:rFonts w:ascii="Cambria Math" w:hAnsi="Cambria Math"/>
                </w:rPr>
                <m:t xml:space="preserve">R</m:t>
              </m:r>
              <m:r>
                <w:rPr>
                  <w:rFonts w:ascii="Cambria Math" w:hAnsi="Cambria Math"/>
                </w:rPr>
                <m:t xml:space="preserve">=</m:t>
              </m:r>
              <m:r>
                <w:rPr>
                  <w:rFonts w:ascii="Cambria Math" w:hAnsi="Cambria Math"/>
                </w:rPr>
                <m:t xml:space="preserve">1</m:t>
              </m:r>
            </m:sub>
            <m:sup>
              <m:r>
                <w:rPr>
                  <w:rFonts w:ascii="Cambria Math" w:hAnsi="Cambria Math"/>
                </w:rPr>
                <m:t xml:space="preserve">7</m:t>
              </m:r>
            </m:sup>
            <m:e>
              <m:sSub>
                <m:e>
                  <m:r>
                    <w:rPr>
                      <w:rFonts w:ascii="Cambria Math" w:hAnsi="Cambria Math"/>
                    </w:rPr>
                    <m:t xml:space="preserve">N</m:t>
                  </m:r>
                </m:e>
                <m:sub>
                  <m:r>
                    <w:rPr>
                      <w:rFonts w:ascii="Cambria Math" w:hAnsi="Cambria Math"/>
                    </w:rPr>
                    <m:t xml:space="preserve">R</m:t>
                  </m:r>
                </m:sub>
              </m:sSub>
            </m:e>
          </m:nary>
        </m:oMath>
      </m:oMathPara>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cu ajutorul fiecăruia dintre cupluri descriem un dreptunghi care considerăm că figurează un risc; fiecărei microsuprafețe îi vom atribui un nivel de risc, astfel încât prin reuniune să obținem:</w:t>
      </w:r>
    </w:p>
    <w:p>
      <w:pPr>
        <w:pStyle w:val="BodyText"/>
        <w:keepNext/>
        <w:widowControl/>
        <w:tabs>
          <w:tab w:val="clear" w:pos="1080"/>
          <w:tab w:val="clear" w:pos="1260"/>
          <w:tab w:val="left" w:pos="1710" w:leader="none"/>
          <w:tab w:val="left" w:pos="2880" w:leader="none"/>
          <w:tab w:val="left" w:pos="4320" w:leader="none"/>
          <w:tab w:val="left" w:pos="4500" w:leader="none"/>
        </w:tabs>
        <w:spacing w:before="0" w:after="0"/>
        <w:ind w:hanging="0"/>
        <w:jc w:val="left"/>
        <w:rPr>
          <w:rFonts w:cs="Arial"/>
          <w:sz w:val="18"/>
          <w:szCs w:val="18"/>
          <w:lang w:val="ro-RO"/>
        </w:rPr>
      </w:pPr>
      <w:r>
        <w:drawing>
          <wp:inline distT="0" distB="0" distL="0" distR="0">
            <wp:extent cx="2057400" cy="1791970"/>
            <wp:effectExtent l="0" t="0" r="0" b="0"/>
            <wp:docPr id="4" name="Picture 39" descr="crina-fig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9" descr="crina-fig14"/>
                    <pic:cNvPicPr>
                      <a:picLocks noChangeAspect="1" noChangeArrowheads="1"/>
                    </pic:cNvPicPr>
                  </pic:nvPicPr>
                  <pic:blipFill>
                    <a:blip r:embed="rId9">
                      <a:biLevel thresh="50000"/>
                    </a:blip>
                    <a:stretch>
                      <a:fillRect/>
                    </a:stretch>
                  </pic:blipFill>
                  <pic:spPr bwMode="auto">
                    <a:xfrm>
                      <a:off x="0" y="0"/>
                      <a:ext cx="2057400" cy="1791970"/>
                    </a:xfrm>
                    <a:prstGeom prst="rect">
                      <a:avLst/>
                    </a:prstGeom>
                    <a:noFill/>
                  </pic:spPr>
                </pic:pic>
              </a:graphicData>
            </a:graphic>
          </wp:inline>
        </w:drawing>
      </w:r>
      <w:r>
        <w:br/>
      </w:r>
      <w:r>
        <w:rPr>
          <w:rFonts w:eastAsia="Arial" w:cs="Arial" w:ascii="Arial" w:hAnsi="Arial"/>
          <w:color w:val="auto"/>
          <w:spacing w:val="0"/>
          <w:w w:val="100"/>
          <w:sz w:val="2"/>
          <w:szCs w:val="20"/>
          <w:lang w:val="ro-RO"/>
        </w:rPr>
      </w:r>
      <m:oMathPara xmlns:m="http://schemas.openxmlformats.org/officeDocument/2006/math">
        <m:oMathParaPr>
          <m:jc m:val="left"/>
        </m:oMathParaPr>
        <m:oMath>
          <m:nary>
            <m:naryPr>
              <m:chr m:val="∑"/>
            </m:naryPr>
            <m:sub>
              <m:r>
                <w:rPr>
                  <w:rFonts w:ascii="Cambria Math" w:hAnsi="Cambria Math"/>
                </w:rPr>
                <m:t xml:space="preserve">R</m:t>
              </m:r>
              <m:r>
                <w:rPr>
                  <w:rFonts w:ascii="Cambria Math" w:hAnsi="Cambria Math"/>
                </w:rPr>
                <m:t xml:space="preserve">=</m:t>
              </m:r>
              <m:r>
                <w:rPr>
                  <w:rFonts w:ascii="Cambria Math" w:hAnsi="Cambria Math"/>
                </w:rPr>
                <m:t xml:space="preserve">1</m:t>
              </m:r>
            </m:sub>
            <m:sup>
              <m:r>
                <w:rPr>
                  <w:rFonts w:ascii="Cambria Math" w:hAnsi="Cambria Math"/>
                </w:rPr>
                <m:t xml:space="preserve">7</m:t>
              </m:r>
            </m:sup>
            <m:e>
              <m:sSub>
                <m:e>
                  <m:r>
                    <w:rPr>
                      <w:rFonts w:ascii="Cambria Math" w:hAnsi="Cambria Math"/>
                    </w:rPr>
                    <m:t xml:space="preserve">N</m:t>
                  </m:r>
                </m:e>
                <m:sub>
                  <m:r>
                    <w:rPr>
                      <w:rFonts w:ascii="Cambria Math" w:hAnsi="Cambria Math"/>
                    </w:rPr>
                    <m:t xml:space="preserve">R</m:t>
                  </m:r>
                </m:sub>
              </m:sSub>
            </m:e>
          </m:nary>
        </m:oMath>
      </m:oMathPara>
    </w:p>
    <w:p>
      <w:pPr>
        <w:pStyle w:val="Normal"/>
        <w:keepNext/>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 xml:space="preserve">Fig. 1.4. Reprezentarea grafică a matricei cuplurilor de variabile gravitate – probabilitate (mulțimea nivelurilor de risc): </w:t>
      </w:r>
      <w:r>
        <w:rPr>
          <w:rFonts w:eastAsia="Arial" w:cs="Arial" w:ascii="Arial" w:hAnsi="Arial"/>
          <w:b/>
          <w:bCs/>
          <w:i/>
          <w:iCs/>
          <w:color w:val="auto"/>
          <w:spacing w:val="0"/>
          <w:w w:val="100"/>
          <w:sz w:val="20"/>
          <w:szCs w:val="20"/>
          <w:lang w:val="ro-RO"/>
        </w:rPr>
        <w:t>g</w:t>
      </w:r>
      <w:r>
        <w:rPr>
          <w:rFonts w:eastAsia="Arial" w:cs="Arial" w:ascii="Arial" w:hAnsi="Arial"/>
          <w:b/>
          <w:bCs/>
          <w:color w:val="auto"/>
          <w:spacing w:val="0"/>
          <w:w w:val="100"/>
          <w:sz w:val="20"/>
          <w:szCs w:val="20"/>
          <w:lang w:val="ro-RO"/>
        </w:rPr>
        <w:t xml:space="preserve"> – clasă de gravitate; </w:t>
      </w:r>
      <w:r>
        <w:rPr>
          <w:rFonts w:eastAsia="Arial" w:cs="Arial" w:ascii="Arial" w:hAnsi="Arial"/>
          <w:b/>
          <w:bCs/>
          <w:i/>
          <w:iCs/>
          <w:color w:val="auto"/>
          <w:spacing w:val="0"/>
          <w:w w:val="100"/>
          <w:sz w:val="20"/>
          <w:szCs w:val="20"/>
          <w:lang w:val="ro-RO"/>
        </w:rPr>
        <w:t>p</w:t>
      </w:r>
      <w:r>
        <w:rPr>
          <w:rFonts w:eastAsia="Arial" w:cs="Arial" w:ascii="Arial" w:hAnsi="Arial"/>
          <w:b/>
          <w:bCs/>
          <w:color w:val="auto"/>
          <w:spacing w:val="0"/>
          <w:w w:val="100"/>
          <w:sz w:val="20"/>
          <w:szCs w:val="20"/>
          <w:lang w:val="ro-RO"/>
        </w:rPr>
        <w:t xml:space="preserve"> – clasă de probabilitate.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Observație:</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considerente practice, la construirea graficului s-au acceptat următoarele convenții:</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atât pe axa Og, cât și pe axa Op, clasele corespunzătoare au fost figurate prin segmente egale, deși diferențele între gravitățile evenimentelor de la o clasă la alta, cât și intervalele de timp în cazul claselor de probabilitate, pe baza cărora s-au determinat, nu sunt egale;</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pentru intervalele care reprezintă clasele de gravitate s-au folosit segmente cu lungime mai mare decât pentru cele care delimitează clasele de frecvență (1</w:t>
      </w:r>
      <w:r>
        <w:rPr>
          <w:rFonts w:eastAsia="Arial" w:cs="Arial" w:ascii="Arial" w:hAnsi="Arial"/>
          <w:color w:val="auto"/>
          <w:spacing w:val="0"/>
          <w:w w:val="100"/>
          <w:sz w:val="20"/>
          <w:szCs w:val="20"/>
          <w:vertAlign w:val="superscript"/>
          <w:lang w:val="ro-RO"/>
        </w:rPr>
        <w:t>1/2</w:t>
      </w:r>
      <w:r>
        <w:rPr>
          <w:rFonts w:eastAsia="Arial" w:cs="Arial" w:ascii="Arial" w:hAnsi="Arial"/>
          <w:color w:val="auto"/>
          <w:spacing w:val="0"/>
          <w:w w:val="100"/>
          <w:sz w:val="20"/>
          <w:szCs w:val="20"/>
          <w:lang w:val="ro-RO"/>
        </w:rPr>
        <w:t xml:space="preserve"> - 1), tocmai datorită premisei că gravitatea are o pondere mult mai mare în dimensiunea riscului.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Prin suprapunerea succesivă, în anumite condiții, a curbei de acceptabilitate a riscului asupra reprezentării obținute a mulțimii nivelurilor de risc s-a stabilit încadrarea cuplurilor pe niveluri de risc, așa cum se explicitează în continuare.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Menținând logica reprezentării prin segmente egale a claselor, rezultă că și curbele care delimitează nivelurile de risc trebuie să fie echidistante. În consecință, împărțim diagonala mare a dreptunghiului care semnifică suma mulțimilor nivelurilor de risc în 7 segmente egale, prin care se vor trasa curbele.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1 – nivel minim de risc 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Limita din dreapta a primului segment este unul dintre punctele prin care se va trasa curba nivelului 1. Luăm acum în considerare toate cuplurile în care gravitatea intră cu valoarea 1 (linia 1 a matricei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Într-adevăr, toți factorii de risc a căror consecință posibilă este incapacitate de muncă mai mică de 3 zile pot fi considerați ca fiind de nivel minim de risc acceptabil, evenimentele produse neconstituind subiect al prevenirii (nu sunt accidente de muncă; de regulă, sunt tratate ca incidente și eliminarea lor face obiectul acțiunii de mărire a confortului în muncă, nu a securității). Cuplul limită este cel în care gravitatea are valoarea 1 și probabilitatea valoarea 6.</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Trasăm prin cele două puncte astfel stabilite o curbă având alura curbei de acceptabilitate stabilită prin CEI 812/1985 (figura 1.5 a).</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217420" cy="1889760"/>
            <wp:effectExtent l="0" t="0" r="0" b="0"/>
            <wp:docPr id="5" name="Picture 9" descr="crina-fig1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9" descr="crina-fig15a"/>
                    <pic:cNvPicPr>
                      <a:picLocks noChangeAspect="1" noChangeArrowheads="1"/>
                    </pic:cNvPicPr>
                  </pic:nvPicPr>
                  <pic:blipFill>
                    <a:blip r:embed="rId10">
                      <a:biLevel thresh="50000"/>
                    </a:blip>
                    <a:stretch>
                      <a:fillRect/>
                    </a:stretch>
                  </pic:blipFill>
                  <pic:spPr bwMode="auto">
                    <a:xfrm>
                      <a:off x="0" y="0"/>
                      <a:ext cx="2217420" cy="1889760"/>
                    </a:xfrm>
                    <a:prstGeom prst="rect">
                      <a:avLst/>
                    </a:prstGeom>
                    <a:noFill/>
                  </pic:spPr>
                </pic:pic>
              </a:graphicData>
            </a:graphic>
          </wp:inline>
        </w:drawing>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1.5. a. Trasarea curbelor nivelurilor de risc. Stabilirea punctelor prin care se trasează curbele de nivel; curba de nivel 1 (risc minim acceptabil)</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Suprafața care este delimitată de laturile dreptunghiului și de curba trasată va reprezenta grafic nivelul 1 de risc. Toți factorii de risc ce pot fi caracterizați prin cupluri ale căror coordonate generează puncte situate în interiorul suprafeței astfel delimitate sau pe curbă vor fi considerați de nivel 1 de risc, respectiv 7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Din reprezentarea grafică (figura 1.5 a), rezultă că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nivelului 1 de risc îi corespunde submatricea:</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6</m:t>
                    </m:r>
                  </m:lim>
                </m:limUpp>
              </m:e>
              <m:lim/>
            </m:limLow>
          </m:e>
          <m:sub>
            <m:r>
              <m:rPr>
                <m:lit/>
                <m:nor/>
              </m:rPr>
              <w:rPr>
                <w:rFonts w:ascii="Cambria Math" w:hAnsi="Cambria Math"/>
              </w:rPr>
              <m:t xml:space="preserve">1,p</m:t>
            </m:r>
          </m:sub>
        </m:sSub>
      </m:oMath>
      <w:r>
        <w:rPr>
          <w:rFonts w:eastAsia="Arial" w:cs="Arial" w:ascii="Arial" w:hAnsi="Arial"/>
          <w:color w:val="auto"/>
          <w:spacing w:val="0"/>
          <w:w w:val="100"/>
          <w:sz w:val="20"/>
          <w:szCs w:val="20"/>
          <w:vertAlign w:val="subscript"/>
          <w:lang w:val="ro-RO"/>
        </w:rPr>
        <w:t xml:space="preserve">= </w:t>
      </w:r>
      <w:r>
        <w:rPr>
          <w:rFonts w:eastAsia="Arial" w:cs="Arial" w:ascii="Arial" w:hAnsi="Arial"/>
          <w:color w:val="auto"/>
          <w:spacing w:val="0"/>
          <w:w w:val="100"/>
          <w:sz w:val="20"/>
          <w:szCs w:val="20"/>
          <w:lang w:val="ro-RO"/>
        </w:rPr>
      </w:r>
      <m:oMath xmlns:m="http://schemas.openxmlformats.org/officeDocument/2006/math">
        <m:d>
          <m:dPr>
            <m:begChr m:val="‖"/>
            <m:endChr m:val="‖"/>
          </m:dPr>
          <m:e>
            <m:m>
              <m:mr>
                <m:e>
                  <m:r>
                    <w:rPr>
                      <w:rFonts w:ascii="Cambria Math" w:hAnsi="Cambria Math"/>
                    </w:rPr>
                    <m:t xml:space="preserve">(</m:t>
                  </m:r>
                  <m:r>
                    <w:rPr>
                      <w:rFonts w:ascii="Cambria Math" w:hAnsi="Cambria Math"/>
                    </w:rPr>
                    <m:t xml:space="preserve">1,1</m:t>
                  </m:r>
                  <m:r>
                    <w:rPr>
                      <w:rFonts w:ascii="Cambria Math" w:hAnsi="Cambria Math"/>
                    </w:rPr>
                    <m:t xml:space="preserve">)</m:t>
                  </m:r>
                </m:e>
                <m:e>
                  <m:r>
                    <w:rPr>
                      <w:rFonts w:ascii="Cambria Math" w:hAnsi="Cambria Math"/>
                    </w:rPr>
                    <m:t xml:space="preserve">(</m:t>
                  </m:r>
                  <m:r>
                    <w:rPr>
                      <w:rFonts w:ascii="Cambria Math" w:hAnsi="Cambria Math"/>
                    </w:rPr>
                    <m:t xml:space="preserve">1,2</m:t>
                  </m:r>
                  <m:r>
                    <w:rPr>
                      <w:rFonts w:ascii="Cambria Math" w:hAnsi="Cambria Math"/>
                    </w:rPr>
                    <m:t xml:space="preserve">)</m:t>
                  </m:r>
                </m:e>
                <m:e>
                  <m:r>
                    <w:rPr>
                      <w:rFonts w:ascii="Cambria Math" w:hAnsi="Cambria Math"/>
                    </w:rPr>
                    <m:t xml:space="preserve">(</m:t>
                  </m:r>
                  <m:r>
                    <w:rPr>
                      <w:rFonts w:ascii="Cambria Math" w:hAnsi="Cambria Math"/>
                    </w:rPr>
                    <m:t xml:space="preserve">1,3</m:t>
                  </m:r>
                  <m:r>
                    <w:rPr>
                      <w:rFonts w:ascii="Cambria Math" w:hAnsi="Cambria Math"/>
                    </w:rPr>
                    <m:t xml:space="preserve">)</m:t>
                  </m:r>
                </m:e>
                <m:e>
                  <m:r>
                    <w:rPr>
                      <w:rFonts w:ascii="Cambria Math" w:hAnsi="Cambria Math"/>
                    </w:rPr>
                    <m:t xml:space="preserve">(</m:t>
                  </m:r>
                  <m:r>
                    <w:rPr>
                      <w:rFonts w:ascii="Cambria Math" w:hAnsi="Cambria Math"/>
                    </w:rPr>
                    <m:t xml:space="preserve">1,4</m:t>
                  </m:r>
                  <m:r>
                    <w:rPr>
                      <w:rFonts w:ascii="Cambria Math" w:hAnsi="Cambria Math"/>
                    </w:rPr>
                    <m:t xml:space="preserve">)</m:t>
                  </m:r>
                </m:e>
                <m:e>
                  <m:r>
                    <w:rPr>
                      <w:rFonts w:ascii="Cambria Math" w:hAnsi="Cambria Math"/>
                    </w:rPr>
                    <m:t xml:space="preserve">(</m:t>
                  </m:r>
                  <m:r>
                    <w:rPr>
                      <w:rFonts w:ascii="Cambria Math" w:hAnsi="Cambria Math"/>
                    </w:rPr>
                    <m:t xml:space="preserve">1,5</m:t>
                  </m:r>
                  <m:r>
                    <w:rPr>
                      <w:rFonts w:ascii="Cambria Math" w:hAnsi="Cambria Math"/>
                    </w:rPr>
                    <m:t xml:space="preserve">)</m:t>
                  </m:r>
                </m:e>
                <m:e>
                  <m:r>
                    <w:rPr>
                      <w:rFonts w:ascii="Cambria Math" w:hAnsi="Cambria Math"/>
                    </w:rPr>
                    <m:t xml:space="preserve">(</m:t>
                  </m:r>
                  <m:r>
                    <w:rPr>
                      <w:rFonts w:ascii="Cambria Math" w:hAnsi="Cambria Math"/>
                    </w:rPr>
                    <m:t xml:space="preserve">1,6</m:t>
                  </m:r>
                  <m:r>
                    <w:rPr>
                      <w:rFonts w:ascii="Cambria Math" w:hAnsi="Cambria Math"/>
                    </w:rPr>
                    <m:t xml:space="preserve">)</m:t>
                  </m:r>
                </m:e>
              </m:mr>
            </m:m>
          </m:e>
        </m:d>
      </m:oMath>
      <w:r>
        <w:rPr>
          <w:rFonts w:eastAsia="Arial" w:cs="Arial" w:ascii="Arial" w:hAnsi="Arial"/>
          <w:color w:val="auto"/>
          <w:spacing w:val="0"/>
          <w:w w:val="100"/>
          <w:sz w:val="20"/>
          <w:szCs w:val="20"/>
          <w:lang w:val="ro-RO"/>
        </w:rPr>
        <w:t xml:space="preserve"> și elementul (2,1).</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2 – 7</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Trasăm curbele pentru nivelurile 2 – 6 paralel la curba de nivel de risc minim acceptabil prin punctele care delimitează segmentele stabilite pe diagonala dreptunghiului mulțimii nivelurilor de risc (figura 1.5 b).</w:t>
      </w:r>
    </w:p>
    <w:p>
      <w:pPr>
        <w:pStyle w:val="Normal"/>
        <w:widowControl/>
        <w:tabs>
          <w:tab w:val="left" w:pos="720" w:leader="none"/>
          <w:tab w:val="left" w:pos="900" w:leader="none"/>
          <w:tab w:val="left" w:pos="171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118360" cy="1874520"/>
            <wp:effectExtent l="0" t="0" r="0" b="0"/>
            <wp:docPr id="6" name="Picture 12" descr="crina-fig1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2" descr="crina-fig15b"/>
                    <pic:cNvPicPr>
                      <a:picLocks noChangeAspect="1" noChangeArrowheads="1"/>
                    </pic:cNvPicPr>
                  </pic:nvPicPr>
                  <pic:blipFill>
                    <a:blip r:embed="rId11">
                      <a:biLevel thresh="50000"/>
                    </a:blip>
                    <a:stretch>
                      <a:fillRect/>
                    </a:stretch>
                  </pic:blipFill>
                  <pic:spPr bwMode="auto">
                    <a:xfrm>
                      <a:off x="0" y="0"/>
                      <a:ext cx="2118360" cy="1874520"/>
                    </a:xfrm>
                    <a:prstGeom prst="rect">
                      <a:avLst/>
                    </a:prstGeom>
                    <a:noFill/>
                  </pic:spPr>
                </pic:pic>
              </a:graphicData>
            </a:graphic>
          </wp:inline>
        </w:drawing>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1.5. b. Trasarea curbelor nivelurilor de risc. Trasarea curbelor pentru nivelurile 2 – 7; Nivel de risc maxim acceptabil și critic.</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1</w:t>
      </w:r>
      <w:r>
        <w:rPr>
          <w:rFonts w:eastAsia="Arial" w:cs="Arial" w:ascii="Arial" w:hAnsi="Arial"/>
          <w:color w:val="auto"/>
          <w:spacing w:val="0"/>
          <w:w w:val="100"/>
          <w:sz w:val="20"/>
          <w:szCs w:val="20"/>
          <w:lang w:val="ro-RO"/>
        </w:rPr>
        <w:t xml:space="preserve"> – cuplurile g-p: (1,1) (1,2) (1,3) (1,4) (1,5) (1,6) (2,1);</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2</w:t>
      </w:r>
      <w:r>
        <w:rPr>
          <w:rFonts w:eastAsia="Arial" w:cs="Arial" w:ascii="Arial" w:hAnsi="Arial"/>
          <w:color w:val="auto"/>
          <w:spacing w:val="0"/>
          <w:w w:val="100"/>
          <w:sz w:val="20"/>
          <w:szCs w:val="20"/>
          <w:lang w:val="ro-RO"/>
        </w:rPr>
        <w:t xml:space="preserve"> – cuplurile g-p: (2,2) (2,3) (2,4) (3,1) (3,2) (4,1);</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3</w:t>
      </w:r>
      <w:r>
        <w:rPr>
          <w:rFonts w:eastAsia="Arial" w:cs="Arial" w:ascii="Arial" w:hAnsi="Arial"/>
          <w:color w:val="auto"/>
          <w:spacing w:val="0"/>
          <w:w w:val="100"/>
          <w:sz w:val="20"/>
          <w:szCs w:val="20"/>
          <w:lang w:val="ro-RO"/>
        </w:rPr>
        <w:t xml:space="preserve"> – cuplurile g-p: (2,5) (2,6) (3,3) (3,4) (4,2) (5,1) (6,1) (7,1);</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4</w:t>
      </w:r>
      <w:r>
        <w:rPr>
          <w:rFonts w:eastAsia="Arial" w:cs="Arial" w:ascii="Arial" w:hAnsi="Arial"/>
          <w:color w:val="auto"/>
          <w:spacing w:val="0"/>
          <w:w w:val="100"/>
          <w:sz w:val="20"/>
          <w:szCs w:val="20"/>
          <w:lang w:val="ro-RO"/>
        </w:rPr>
        <w:t xml:space="preserve"> – cuplurile g-p: (3,5) (3,6) (4,3) (4,4) (5,2) (5,3) (6,2) (7,2);</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5</w:t>
      </w:r>
      <w:r>
        <w:rPr>
          <w:rFonts w:eastAsia="Arial" w:cs="Arial" w:ascii="Arial" w:hAnsi="Arial"/>
          <w:color w:val="auto"/>
          <w:spacing w:val="0"/>
          <w:w w:val="100"/>
          <w:sz w:val="20"/>
          <w:szCs w:val="20"/>
          <w:lang w:val="ro-RO"/>
        </w:rPr>
        <w:t xml:space="preserve"> – cuplurile g-p: (4,5) (4,6) (5,4) (5,5) (6,3) (7,3);</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6</w:t>
      </w:r>
      <w:r>
        <w:rPr>
          <w:rFonts w:eastAsia="Arial" w:cs="Arial" w:ascii="Arial" w:hAnsi="Arial"/>
          <w:color w:val="auto"/>
          <w:spacing w:val="0"/>
          <w:w w:val="100"/>
          <w:sz w:val="20"/>
          <w:szCs w:val="20"/>
          <w:lang w:val="ro-RO"/>
        </w:rPr>
        <w:t xml:space="preserve"> – cuplurile g-p: (5,6) (6,4) (6,5) (7,4);</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7</w:t>
      </w:r>
      <w:r>
        <w:rPr>
          <w:rFonts w:eastAsia="Arial" w:cs="Arial" w:ascii="Arial" w:hAnsi="Arial"/>
          <w:color w:val="auto"/>
          <w:spacing w:val="0"/>
          <w:w w:val="100"/>
          <w:sz w:val="20"/>
          <w:szCs w:val="20"/>
          <w:lang w:val="ro-RO"/>
        </w:rPr>
        <w:t xml:space="preserve"> – cuplurile g-p: (6,6) (7,5) (7,6).</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Ca și mai sus, secțiunea delimitată de curba nivelului 1 și de curba imediat superioară va reprezenta grafic nivelul 2; tuturor factorilor de risc pentru care cuplurile gravitate – probabilitate generează puncte situate în interiorul acestei suprafețe sau pe limita sa superioară li se alocă nivelul 2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Similar se atribuie nivelurile 3, 4, ..., 6.</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Suprafaței delimitate de curba nivelului 6 și de cele două laturi superioare ale dreptunghiului i se alocă nivelul 7.</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Interpretând reprezentarea din figura 1.5 b rezultă că fiecărui nivel de risc îi corespunde cel puțin o submatrice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2: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4</m:t>
                            </m:r>
                          </m:lim>
                        </m:limUpp>
                      </m:e>
                      <m:lim>
                        <m:r>
                          <w:rPr>
                            <w:rFonts w:ascii="Cambria Math" w:hAnsi="Cambria Math"/>
                          </w:rPr>
                          <m:t xml:space="preserve">p</m:t>
                        </m:r>
                        <m:r>
                          <w:rPr>
                            <w:rFonts w:ascii="Cambria Math" w:hAnsi="Cambria Math"/>
                          </w:rPr>
                          <m:t xml:space="preserve">=</m:t>
                        </m:r>
                        <m:r>
                          <w:rPr>
                            <w:rFonts w:ascii="Cambria Math" w:hAnsi="Cambria Math"/>
                          </w:rPr>
                          <m:t xml:space="preserve">2</m:t>
                        </m:r>
                      </m:lim>
                    </m:limLow>
                  </m:e>
                  <m:sub>
                    <m:r>
                      <m:rPr>
                        <m:lit/>
                        <m:nor/>
                      </m:rPr>
                      <w:rPr>
                        <w:rFonts w:ascii="Cambria Math" w:hAnsi="Cambria Math"/>
                      </w:rPr>
                      <m:t xml:space="preserve">2,p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2,2</m:t>
                          </m:r>
                          <m:r>
                            <w:rPr>
                              <w:rFonts w:ascii="Cambria Math" w:hAnsi="Cambria Math"/>
                            </w:rPr>
                            <m:t xml:space="preserve">)</m:t>
                          </m:r>
                        </m:e>
                        <m:e>
                          <m:r>
                            <w:rPr>
                              <w:rFonts w:ascii="Cambria Math" w:hAnsi="Cambria Math"/>
                            </w:rPr>
                            <m:t xml:space="preserve">(</m:t>
                          </m:r>
                          <m:r>
                            <m:rPr>
                              <m:lit/>
                              <m:nor/>
                            </m:rPr>
                            <w:rPr>
                              <w:rFonts w:ascii="Cambria Math" w:hAnsi="Cambria Math"/>
                            </w:rPr>
                            <m:t xml:space="preserve">2,3</m:t>
                          </m:r>
                          <m:r>
                            <w:rPr>
                              <w:rFonts w:ascii="Cambria Math" w:hAnsi="Cambria Math"/>
                            </w:rPr>
                            <m:t xml:space="preserve">)</m:t>
                          </m:r>
                        </m:e>
                        <m:e>
                          <m:r>
                            <w:rPr>
                              <w:rFonts w:ascii="Cambria Math" w:hAnsi="Cambria Math"/>
                            </w:rPr>
                            <m:t xml:space="preserve">(</m:t>
                          </m:r>
                          <m:r>
                            <m:rPr>
                              <m:lit/>
                              <m:nor/>
                            </m:rPr>
                            <w:rPr>
                              <w:rFonts w:ascii="Cambria Math" w:hAnsi="Cambria Math"/>
                            </w:rPr>
                            <m:t xml:space="preserve">2,4</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 xml:space="preserve"> și elementul (4,1);</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3: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2,p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2,5</m:t>
                          </m:r>
                          <m:r>
                            <w:rPr>
                              <w:rFonts w:ascii="Cambria Math" w:hAnsi="Cambria Math"/>
                            </w:rPr>
                            <m:t xml:space="preserve">)</m:t>
                          </m:r>
                        </m:e>
                        <m:e>
                          <m:r>
                            <w:rPr>
                              <w:rFonts w:ascii="Cambria Math" w:hAnsi="Cambria Math"/>
                            </w:rPr>
                            <m:t xml:space="preserve">(</m:t>
                          </m:r>
                          <m:r>
                            <m:rPr>
                              <m:lit/>
                              <m:nor/>
                            </m:rPr>
                            <w:rPr>
                              <w:rFonts w:ascii="Cambria Math" w:hAnsi="Cambria Math"/>
                            </w:rPr>
                            <m:t xml:space="preserve">2,6</m:t>
                          </m:r>
                          <m:r>
                            <w:rPr>
                              <w:rFonts w:ascii="Cambria Math" w:hAnsi="Cambria Math"/>
                            </w:rPr>
                            <m:t xml:space="preserve">)</m:t>
                          </m:r>
                        </m:e>
                      </m:mr>
                    </m:m>
                  </m:e>
                </m:d>
              </m:e>
            </m:d>
            <m:d>
              <m:dPr>
                <m:begChr m:val="{"/>
                <m:endChr m:val=""/>
              </m:dPr>
              <m:e>
                <m:sSub>
                  <m:e>
                    <m:limLow>
                      <m:e>
                        <m:limUpp>
                          <m:e>
                            <m:r>
                              <w:rPr>
                                <w:rFonts w:ascii="Cambria Math" w:hAnsi="Cambria Math"/>
                              </w:rPr>
                              <m:t xml:space="preserve">M</m:t>
                            </m:r>
                          </m:e>
                          <m:lim>
                            <m:r>
                              <w:rPr>
                                <w:rFonts w:ascii="Cambria Math" w:hAnsi="Cambria Math"/>
                              </w:rPr>
                              <m:t xml:space="preserve">4</m:t>
                            </m:r>
                          </m:lim>
                        </m:limUpp>
                      </m:e>
                      <m:lim>
                        <m:r>
                          <w:rPr>
                            <w:rFonts w:ascii="Cambria Math" w:hAnsi="Cambria Math"/>
                          </w:rPr>
                          <m:t xml:space="preserve">p</m:t>
                        </m:r>
                        <m:r>
                          <w:rPr>
                            <w:rFonts w:ascii="Cambria Math" w:hAnsi="Cambria Math"/>
                          </w:rPr>
                          <m:t xml:space="preserve">=</m:t>
                        </m:r>
                        <m:r>
                          <w:rPr>
                            <w:rFonts w:ascii="Cambria Math" w:hAnsi="Cambria Math"/>
                          </w:rPr>
                          <m:t xml:space="preserve">3</m:t>
                        </m:r>
                      </m:lim>
                    </m:limLow>
                  </m:e>
                  <m:sub>
                    <m:r>
                      <m:rPr>
                        <m:lit/>
                        <m:nor/>
                      </m:rPr>
                      <w:rPr>
                        <w:rFonts w:ascii="Cambria Math" w:hAnsi="Cambria Math"/>
                      </w:rPr>
                      <m:t xml:space="preserve">3,p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3,3</m:t>
                          </m:r>
                          <m:r>
                            <w:rPr>
                              <w:rFonts w:ascii="Cambria Math" w:hAnsi="Cambria Math"/>
                            </w:rPr>
                            <m:t xml:space="preserve">)</m:t>
                          </m:r>
                        </m:e>
                        <m:e>
                          <m:r>
                            <w:rPr>
                              <w:rFonts w:ascii="Cambria Math" w:hAnsi="Cambria Math"/>
                            </w:rPr>
                            <m:t xml:space="preserve">(</m:t>
                          </m:r>
                          <m:r>
                            <m:rPr>
                              <m:lit/>
                              <m:nor/>
                            </m:rPr>
                            <w:rPr>
                              <w:rFonts w:ascii="Cambria Math" w:hAnsi="Cambria Math"/>
                            </w:rPr>
                            <m:t xml:space="preserve">3,4</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 xml:space="preserve"> și elementul (4,2);</w:t>
      </w:r>
    </w:p>
    <w:p>
      <w:pPr>
        <w:pStyle w:val="Normal"/>
        <w:keepNext w:val="tru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 nivelul 4:</w:t>
      </w:r>
    </w:p>
    <w:p>
      <w:pPr>
        <w:pStyle w:val="Normal"/>
        <w:keepNext w:val="false"/>
        <w:pageBreakBefore w:val="false"/>
        <w:widowControl/>
        <w:numPr>
          <w:ilvl w:val="0"/>
          <w:numId w:val="0"/>
        </w:numPr>
        <w:spacing w:before="0" w:after="120"/>
        <w:ind w:hanging="0" w:left="900"/>
        <w:jc w:val="left"/>
        <w:rPr>
          <w:rFonts w:ascii="Arial" w:hAnsi="Arial" w:cs="Arial"/>
          <w:sz w:val="20"/>
          <w:szCs w:val="20"/>
        </w:rPr>
      </w:pPr>
      <w:r>
        <w:rPr>
          <w:rFonts w:eastAsia="Arial" w:cs="Arial" w:ascii="Arial" w:hAnsi="Arial"/>
          <w:color w:val="auto"/>
          <w:spacing w:val="0"/>
          <w:w w:val="100"/>
          <w:sz w:val="20"/>
          <w:szCs w:val="20"/>
          <w:lang w:val="ro-RO"/>
        </w:rPr>
        <w:object>
          <v:shapetype id="_x0000_tole_rId12" coordsize="21600,21600" o:spt="1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2" type="_x0000_tole_rId12" style="width:101pt;height:144pt;mso-wrap-distance-right:0pt" filled="f" o:ole="">
            <v:imagedata r:id="rId13" o:title=""/>
          </v:shape>
          <o:OLEObject Type="Embed" ProgID="Equation.2" ShapeID="ole_rId12" DrawAspect="Content" ObjectID="_1760537323" r:id="rId12"/>
        </w:object>
      </w:r>
      <w:r>
        <w:rPr>
          <w:rFonts w:eastAsia="Arial" w:cs="Arial" w:ascii="Arial" w:hAnsi="Arial"/>
          <w:b w:val="false"/>
          <w:color w:val="auto"/>
          <w:sz w:val="20"/>
          <w:szCs w:val="20"/>
          <w:lang w:val="ro-RO"/>
        </w:rPr>
        <w:t xml:space="preserve">;</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5: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4,p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4,5</m:t>
                          </m:r>
                          <m:r>
                            <w:rPr>
                              <w:rFonts w:ascii="Cambria Math" w:hAnsi="Cambria Math"/>
                            </w:rPr>
                            <m:t xml:space="preserve">)</m:t>
                          </m:r>
                        </m:e>
                        <m:e>
                          <m:r>
                            <w:rPr>
                              <w:rFonts w:ascii="Cambria Math" w:hAnsi="Cambria Math"/>
                            </w:rPr>
                            <m:t xml:space="preserve">(</m:t>
                          </m:r>
                          <m:r>
                            <m:rPr>
                              <m:lit/>
                              <m:nor/>
                            </m:rPr>
                            <w:rPr>
                              <w:rFonts w:ascii="Cambria Math" w:hAnsi="Cambria Math"/>
                            </w:rPr>
                            <m:t xml:space="preserve">4,6</m:t>
                          </m:r>
                          <m:r>
                            <w:rPr>
                              <w:rFonts w:ascii="Cambria Math" w:hAnsi="Cambria Math"/>
                            </w:rPr>
                            <m:t xml:space="preserve">)</m:t>
                          </m:r>
                        </m:e>
                      </m:mr>
                    </m:m>
                  </m:e>
                </m:d>
              </m:e>
            </m:d>
            <m:d>
              <m:dPr>
                <m:begChr m:val="{"/>
                <m:endChr m:val=""/>
              </m:dPr>
              <m:e>
                <m:sSub>
                  <m:e>
                    <m:limLow>
                      <m:e>
                        <m:limUpp>
                          <m:e>
                            <m:r>
                              <w:rPr>
                                <w:rFonts w:ascii="Cambria Math" w:hAnsi="Cambria Math"/>
                              </w:rPr>
                              <m:t xml:space="preserve">M</m:t>
                            </m:r>
                          </m:e>
                          <m:lim>
                            <m:r>
                              <w:rPr>
                                <w:rFonts w:ascii="Cambria Math" w:hAnsi="Cambria Math"/>
                              </w:rPr>
                              <m:t xml:space="preserve">5</m:t>
                            </m:r>
                          </m:lim>
                        </m:limUpp>
                      </m:e>
                      <m:lim>
                        <m:r>
                          <w:rPr>
                            <w:rFonts w:ascii="Cambria Math" w:hAnsi="Cambria Math"/>
                          </w:rPr>
                          <m:t xml:space="preserve">p</m:t>
                        </m:r>
                        <m:r>
                          <w:rPr>
                            <w:rFonts w:ascii="Cambria Math" w:hAnsi="Cambria Math"/>
                          </w:rPr>
                          <m:t xml:space="preserve">=</m:t>
                        </m:r>
                        <m:r>
                          <w:rPr>
                            <w:rFonts w:ascii="Cambria Math" w:hAnsi="Cambria Math"/>
                          </w:rPr>
                          <m:t xml:space="preserve">4</m:t>
                        </m:r>
                      </m:lim>
                    </m:limLow>
                  </m:e>
                  <m:sub>
                    <m:r>
                      <m:rPr>
                        <m:lit/>
                        <m:nor/>
                      </m:rPr>
                      <w:rPr>
                        <w:rFonts w:ascii="Cambria Math" w:hAnsi="Cambria Math"/>
                      </w:rPr>
                      <m:t xml:space="preserve">5,p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5,4</m:t>
                          </m:r>
                          <m:r>
                            <w:rPr>
                              <w:rFonts w:ascii="Cambria Math" w:hAnsi="Cambria Math"/>
                            </w:rPr>
                            <m:t xml:space="preserve">)</m:t>
                          </m:r>
                        </m:e>
                        <m:e>
                          <m:r>
                            <w:rPr>
                              <w:rFonts w:ascii="Cambria Math" w:hAnsi="Cambria Math"/>
                            </w:rPr>
                            <m:t xml:space="preserve">(</m:t>
                          </m:r>
                          <m:r>
                            <m:rPr>
                              <m:lit/>
                              <m:nor/>
                            </m:rPr>
                            <w:rPr>
                              <w:rFonts w:ascii="Cambria Math" w:hAnsi="Cambria Math"/>
                            </w:rPr>
                            <m:t xml:space="preserve">5,5</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6: </w:t>
      </w: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5</m:t>
                    </m:r>
                  </m:lim>
                </m:limUpp>
              </m:e>
              <m:lim>
                <m:r>
                  <w:rPr>
                    <w:rFonts w:ascii="Cambria Math" w:hAnsi="Cambria Math"/>
                  </w:rPr>
                  <m:t xml:space="preserve">p</m:t>
                </m:r>
                <m:r>
                  <w:rPr>
                    <w:rFonts w:ascii="Cambria Math" w:hAnsi="Cambria Math"/>
                  </w:rPr>
                  <m:t xml:space="preserve">=</m:t>
                </m:r>
                <m:r>
                  <w:rPr>
                    <w:rFonts w:ascii="Cambria Math" w:hAnsi="Cambria Math"/>
                  </w:rPr>
                  <m:t xml:space="preserve">4</m:t>
                </m:r>
              </m:lim>
            </m:limLow>
          </m:e>
          <m:sub>
            <m:r>
              <m:rPr>
                <m:lit/>
                <m:nor/>
              </m:rPr>
              <w:rPr>
                <w:rFonts w:ascii="Cambria Math" w:hAnsi="Cambria Math"/>
              </w:rPr>
              <m:t xml:space="preserve">6,p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6,4</m:t>
                  </m:r>
                  <m:r>
                    <w:rPr>
                      <w:rFonts w:ascii="Cambria Math" w:hAnsi="Cambria Math"/>
                    </w:rPr>
                    <m:t xml:space="preserve">)</m:t>
                  </m:r>
                </m:e>
                <m:e>
                  <m:r>
                    <w:rPr>
                      <w:rFonts w:ascii="Cambria Math" w:hAnsi="Cambria Math"/>
                    </w:rPr>
                    <m:t xml:space="preserve">(</m:t>
                  </m:r>
                  <m:r>
                    <m:rPr>
                      <m:lit/>
                      <m:nor/>
                    </m:rPr>
                    <w:rPr>
                      <w:rFonts w:ascii="Cambria Math" w:hAnsi="Cambria Math"/>
                    </w:rPr>
                    <m:t xml:space="preserve">6,5</m:t>
                  </m:r>
                  <m:r>
                    <w:rPr>
                      <w:rFonts w:ascii="Cambria Math" w:hAnsi="Cambria Math"/>
                    </w:rPr>
                    <m:t xml:space="preserve">)</m:t>
                  </m:r>
                </m:e>
              </m:mr>
            </m:m>
          </m:e>
        </m:d>
      </m:oMath>
      <w:r>
        <w:rPr>
          <w:rFonts w:eastAsia="Arial" w:cs="Arial" w:ascii="Arial" w:hAnsi="Arial"/>
          <w:color w:val="auto"/>
          <w:spacing w:val="0"/>
          <w:w w:val="100"/>
          <w:sz w:val="20"/>
          <w:szCs w:val="20"/>
          <w:lang w:val="ro-RO"/>
        </w:rPr>
        <w:t xml:space="preserve"> și elementele (5,6), (7,4);</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7: elementul (6,6) și submatricea: </w:t>
      </w: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7,p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7,5</m:t>
                  </m:r>
                  <m:r>
                    <w:rPr>
                      <w:rFonts w:ascii="Cambria Math" w:hAnsi="Cambria Math"/>
                    </w:rPr>
                    <m:t xml:space="preserve">)</m:t>
                  </m:r>
                </m:e>
                <m:e>
                  <m:r>
                    <w:rPr>
                      <w:rFonts w:ascii="Cambria Math" w:hAnsi="Cambria Math"/>
                    </w:rPr>
                    <m:t xml:space="preserve">(</m:t>
                  </m:r>
                  <m:r>
                    <m:rPr>
                      <m:lit/>
                      <m:nor/>
                    </m:rPr>
                    <w:rPr>
                      <w:rFonts w:ascii="Cambria Math" w:hAnsi="Cambria Math"/>
                    </w:rPr>
                    <m:t xml:space="preserve">7,6</m:t>
                  </m:r>
                  <m:r>
                    <w:rPr>
                      <w:rFonts w:ascii="Cambria Math" w:hAnsi="Cambria Math"/>
                    </w:rPr>
                    <m:t xml:space="preserve">)</m:t>
                  </m:r>
                </m:e>
              </m:mr>
            </m:m>
          </m:e>
        </m:d>
      </m:oMath>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relația risc – securitate definită se deduce imediat că nivelul 7 de risc reprezintă un nivel critic, la care securitatea sistemului este minimă. Dincolo de această limită, securitatea tinde către zero, deci desfășurarea procesului de muncă nu mai poate avea loc, deoarece ea ar fi echivalentă cu producerea accidentului sau îmbolnăvirii. Despre factorii de risc caracterizați prin cuplurile (6,6), (7,5), (7,6) se poate afirma că ei vor conduce rapid și cu certitudine la producerea evenimentului extrem – decesul (pericol iminent).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Reglementările normative din majoritatea țărilor nu permit însă atingerea stadiului critic. Pentru aceasta, în general, se stabilesc pentru fiecare factor de risc fie limite maxime sub formă de valori, în cazul factorilor a căror formă de manifestare poate fi caracterizată prin elemente măsurabile, fie interdicții – factorii la care măsurătorile nu sunt posibile. Normele respective corespund unui nivel de risc maxim acceptabil, care diferă de la o țară la alta, în funcție de condițiile economice și sociale.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Autorii metodei elaborate în cadrul I.N.C.D.P.M. București consideră că pentru țara noastră ar fi indicat ca nivelul de risc maxim acceptabil să corespundă nivelului 3,5. Aceasta ar însemna în primul rând ca autorizarea de funcționare a agenților economici din punctul de vedere al securității muncii să se acorde numai dacă evaluarea riscurilor la locurile de muncă confirmă nedepășirea acestui nivel.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Plecând de la premisele teoretice prezentate anterior, a fost elaborată metoda de evaluare a riscurilor de accidentare și îmbolnăvire profesională la locurile de muncă, metodă care va fi prezentată în continuare.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II.II. DESCRIEREA METODEI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1.1. Scop și finalitate: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Metoda elaborată în cadrul I.N.C.D.P.M. București are ca scop determinarea cantitativă a nivelului de risc/securitate pentru locurile de muncă declarate și încadrate de angajator la data de </w:t>
      </w:r>
      <w:r>
        <w:rPr>
          <w:rFonts w:eastAsia="Arial" w:cs="Arial" w:ascii="Arial" w:hAnsi="Arial"/>
          <w:color w:val="auto"/>
          <w:spacing w:val="0"/>
          <w:w w:val="100"/>
          <w:sz w:val="20"/>
          <w:szCs w:val="20"/>
          <w:lang w:val="ro-RO"/>
        </w:rPr>
        <w:t xml:space="preserve">{{issueDate}} </w:t>
      </w:r>
      <w:r>
        <w:rPr>
          <w:rFonts w:eastAsia="Arial" w:cs="Arial" w:ascii="Arial" w:hAnsi="Arial"/>
          <w:color w:val="auto"/>
          <w:spacing w:val="0"/>
          <w:w w:val="100"/>
          <w:sz w:val="20"/>
          <w:szCs w:val="20"/>
          <w:lang w:val="ro-RO"/>
        </w:rPr>
        <w:t>pe baza analizei sistemice și evaluării riscurilor de accidentare și îmbolnăvire profesională. Aplicarea metodei se finalizează cu un document centralizator (FIȘA DE EVALUARE A LOCULUI DE MUNCĂ), care cuprinde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Fișa locului de muncă astfel întocmită constituie baza fundamentării programului de prevenire a accidentelor de muncă și îmbolnăvirilor profesionale pentru locul de muncă, sectorul, secția sau întreprinderea analizată. În urma centralizării măsurilor ce trebuie luate de angajator se întocmește planul de prevenire și protecție care se aprobă de angajator după consultarea angajaților.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Planul de prevenire și protecție astfel întocmit devine aplicabil și este obligatoriu de respectat de către toți participanții la procesul de muncă.</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1.2. Principiul metodei: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Esența metodei constă în identificarea tuturor factorilor de risc din sistemul analizat (loc de muncă) pe baza unor liste de control prestabilite și cuantificarea dimensiunii riscului pe baza combinației dintre gravitatea și frecvența consecinței maxim previzibile.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securitate pentru un loc de muncă este invers proporțional cu nivelul de risc.</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1.3. Utilizatori potențiali: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poate fi utilizată atât în faza de concepție și proiectare a locurilor de muncă, cât și în faza de exploatare. Aplicarea ei necesită însă echipe complexe formate din persoane specializate atât în securitatea muncii, cât și în tehnologia analizată (evaluatori + tehnologi).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situație, metoda constituie un instrument util și necesar pentru proiectanți în vederea integrării principiilor și măsurilor de securitate a muncii în concepția și proiectarea sistemelor de muncă.</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faza de exploatare, metoda este utilă personalului de la compartimentele de protecție a muncii din întreprinderi pentru îndeplinirea următoarelor atribuții:</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analiza pe o bază științifică a stării de securitate a muncii la fiecare loc de muncă;</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fundamentarea riguroasă a programelor de prevenire.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1.4. Etapele metodei: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cuprinde următoarele etape obligatorii: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w:t>
      </w:r>
      <w:r>
        <w:rPr>
          <w:rFonts w:eastAsia="Arial" w:cs="Arial" w:ascii="Arial" w:hAnsi="Arial"/>
          <w:color w:val="auto"/>
          <w:spacing w:val="0"/>
          <w:w w:val="100"/>
          <w:sz w:val="20"/>
          <w:szCs w:val="20"/>
          <w:lang w:val="ro-RO"/>
        </w:rPr>
        <w:t xml:space="preserve"> formarea echipei (colectivului) de evaluare;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w:t>
      </w:r>
      <w:r>
        <w:rPr>
          <w:rFonts w:eastAsia="Arial" w:cs="Arial" w:ascii="Arial" w:hAnsi="Arial"/>
          <w:color w:val="auto"/>
          <w:spacing w:val="0"/>
          <w:w w:val="100"/>
          <w:sz w:val="20"/>
          <w:szCs w:val="20"/>
          <w:lang w:val="ro-RO"/>
        </w:rPr>
        <w:t xml:space="preserve"> definirea locului de muncă și analiza acestuia și determinarea elementelor componente ale sistemului de muncă evaluat;</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III.</w:t>
      </w:r>
      <w:r>
        <w:rPr>
          <w:rFonts w:eastAsia="Arial" w:cs="Arial" w:ascii="Arial" w:hAnsi="Arial"/>
          <w:color w:val="auto"/>
          <w:spacing w:val="0"/>
          <w:w w:val="100"/>
          <w:sz w:val="20"/>
          <w:szCs w:val="20"/>
          <w:lang w:val="ro-RO"/>
        </w:rPr>
        <w:t xml:space="preserve"> identificarea factorilor de risc specifici locului de muncă;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IV.</w:t>
      </w:r>
      <w:r>
        <w:rPr>
          <w:rFonts w:eastAsia="Arial" w:cs="Arial" w:ascii="Arial" w:hAnsi="Arial"/>
          <w:color w:val="auto"/>
          <w:spacing w:val="0"/>
          <w:w w:val="100"/>
          <w:sz w:val="20"/>
          <w:szCs w:val="20"/>
          <w:lang w:val="ro-RO"/>
        </w:rPr>
        <w:t xml:space="preserv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w:t>
      </w:r>
      <w:r>
        <w:rPr>
          <w:rFonts w:eastAsia="Arial" w:cs="Arial" w:ascii="Arial" w:hAnsi="Arial"/>
          <w:color w:val="auto"/>
          <w:spacing w:val="0"/>
          <w:w w:val="100"/>
          <w:sz w:val="20"/>
          <w:szCs w:val="20"/>
          <w:lang w:val="ro-RO"/>
        </w:rPr>
        <w:t xml:space="preserve"> propunerea măsurilor de prevenire;</w:t>
      </w:r>
    </w:p>
    <w:p>
      <w:pPr>
        <w:pStyle w:val="Normal"/>
        <w:keepNext/>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VI.</w:t>
      </w:r>
      <w:r>
        <w:rPr>
          <w:rFonts w:eastAsia="Arial" w:cs="Arial" w:ascii="Arial" w:hAnsi="Arial"/>
          <w:color w:val="auto"/>
          <w:spacing w:val="0"/>
          <w:w w:val="100"/>
          <w:sz w:val="20"/>
          <w:szCs w:val="20"/>
          <w:lang w:val="ro-RO"/>
        </w:rPr>
        <w:t xml:space="preserve"> interpretarea rezultatelor evaluării, care constă în:</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 </w:t>
      </w:r>
      <w:r>
        <w:rPr>
          <w:rFonts w:eastAsia="Arial" w:cs="Arial" w:ascii="Arial" w:hAnsi="Arial"/>
          <w:color w:val="auto"/>
          <w:spacing w:val="0"/>
          <w:w w:val="100"/>
          <w:sz w:val="20"/>
          <w:szCs w:val="20"/>
          <w:lang w:val="ro-RO"/>
        </w:rPr>
        <w:t>completarea metodei prin efectuarea ierarhizării riscurilor evaluate;</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 </w:t>
      </w:r>
      <w:r>
        <w:rPr>
          <w:rFonts w:eastAsia="Arial" w:cs="Arial" w:ascii="Arial" w:hAnsi="Arial"/>
          <w:color w:val="auto"/>
          <w:spacing w:val="0"/>
          <w:w w:val="100"/>
          <w:sz w:val="20"/>
          <w:szCs w:val="20"/>
          <w:lang w:val="ro-RO"/>
        </w:rPr>
        <w:t xml:space="preserve">determinarea nivelului de risc parțial și nivelului de risc global pentru postul de lucru / loc de muncă evaluat;</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VI.III. </w:t>
      </w:r>
      <w:r>
        <w:rPr>
          <w:rFonts w:eastAsia="Arial" w:cs="Arial" w:ascii="Arial" w:hAnsi="Arial"/>
          <w:color w:val="auto"/>
          <w:spacing w:val="0"/>
          <w:w w:val="100"/>
          <w:sz w:val="20"/>
          <w:szCs w:val="20"/>
          <w:lang w:val="ro-RO"/>
        </w:rPr>
        <w:t xml:space="preserve">determinarea ponderii factorilor de risc identificați după elementele sistemului de muncă.</w:t>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1.5. Instrumente de lucru utilizate:</w:t>
      </w:r>
    </w:p>
    <w:p>
      <w:pPr>
        <w:pStyle w:val="Normal"/>
        <w:keepNext/>
        <w:widowControl/>
        <w:spacing w:before="0" w:after="60"/>
        <w:ind w:hanging="0"/>
        <w:jc w:val="left"/>
        <w:rPr>
          <w:rFonts w:ascii="Arial" w:hAnsi="Arial" w:cs="Arial"/>
          <w:sz w:val="18"/>
          <w:szCs w:val="18"/>
        </w:rPr>
      </w:pPr>
      <w:r>
        <w:rPr>
          <w:rFonts w:eastAsia="Arial" w:cs="Arial" w:ascii="Arial" w:hAnsi="Arial"/>
          <w:color w:val="auto"/>
          <w:spacing w:val="0"/>
          <w:w w:val="100"/>
          <w:sz w:val="20"/>
          <w:szCs w:val="20"/>
          <w:lang w:val="ro-RO"/>
        </w:rPr>
        <w:t>Etapele necesare pentru evaluarea securității muncii într-un sistem, descrise anterior, se realizează utilizând următoarele instrumente de lucru:</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Lista de identificare a factorilor de risc;</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Lista de consecințe posibile ale acțiunii factorilor de risc asupra organismului uman;</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Scala de cotare a gravității și probabilității consecințelor;</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Grila de evaluare a riscurilor;</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Scala de încadrare a nivelurilor de risc, respectiv a nivelurilor de securitate;</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Fișa locului de muncă – document centralizator;</w:t>
      </w:r>
    </w:p>
    <w:p>
      <w:pPr>
        <w:pStyle w:val="Normal"/>
        <w:widowControl/>
        <w:numPr>
          <w:ilvl w:val="0"/>
          <w:numId w:val="4"/>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Fișa de măsuri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Conținutul și structura acestor instrumente sunt prezentate în continuare.</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Lista de identificare a factorilor de risc</w:t>
      </w:r>
      <w:r>
        <w:rPr>
          <w:rFonts w:eastAsia="Arial" w:cs="Arial" w:ascii="Arial" w:hAnsi="Arial"/>
          <w:color w:val="auto"/>
          <w:spacing w:val="0"/>
          <w:w w:val="100"/>
          <w:sz w:val="20"/>
          <w:szCs w:val="20"/>
          <w:lang w:val="ro-RO"/>
        </w:rPr>
        <w:t xml:space="preserve"> (Anexa 1) este un formular care cuprinde, într-o formă ușor identificabilă și comprimată, principalele categorii de factori de risc de accidentare și îmbolnăvire profesională, grupate după criteriul elementului generator din cadrul sistemului de muncă (executant, sarcină de muncă, mijloace de producție și mediu de muncă).</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Lista de consecințe posibile ale acțiunii factorilor de risc asupra organismului uman</w:t>
      </w:r>
      <w:r>
        <w:rPr>
          <w:rFonts w:eastAsia="Arial" w:cs="Arial" w:ascii="Arial" w:hAnsi="Arial"/>
          <w:color w:val="auto"/>
          <w:spacing w:val="0"/>
          <w:w w:val="100"/>
          <w:sz w:val="20"/>
          <w:szCs w:val="20"/>
          <w:lang w:val="ro-RO"/>
        </w:rPr>
        <w:t xml:space="preserve"> (Anexa 2) este un instrument ajutător în aplicarea scalei de cotare a gravității consecințelor. Ea cuprinde categoriile de leziuni și vătămări ale integrității și sănătății organismului uman, localizarea posibilă a consecințelor în raport cu structura anatomo-funcțională a organismului și gravitatea minimă – maximă generică a consecinței.</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Scala de cotare a gravității și probabilității consecințelor acțiunii factorilor</w:t>
      </w:r>
      <w:r>
        <w:rPr>
          <w:rFonts w:eastAsia="Arial" w:cs="Arial" w:ascii="Arial" w:hAnsi="Arial"/>
          <w:b/>
          <w:color w:val="auto"/>
          <w:spacing w:val="0"/>
          <w:w w:val="100"/>
          <w:sz w:val="20"/>
          <w:szCs w:val="20"/>
          <w:lang w:val="ro-RO"/>
        </w:rPr>
        <w:t xml:space="preserve"> de risc asupra organismului uman</w:t>
      </w:r>
      <w:r>
        <w:rPr>
          <w:rFonts w:eastAsia="Arial" w:cs="Arial" w:ascii="Arial" w:hAnsi="Arial"/>
          <w:color w:val="auto"/>
          <w:spacing w:val="0"/>
          <w:w w:val="100"/>
          <w:sz w:val="20"/>
          <w:szCs w:val="20"/>
          <w:lang w:val="ro-RO"/>
        </w:rPr>
        <w:t xml:space="preserve"> (Anexa 3) este o grilă de clasificare a consecințelor în clase de gravitate și clase de probabilitate a producerii 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Partea din grilă referitoare la gravitatea consecințelor se bazează pe criteriile medicale de diagnostic clinic, funcțional și de evaluare a capacității de muncă elaborate de Ministerul Sănătății și Ministerul Muncii, Solidarității Sociale și Familiei.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ceea ce privește clasele de probabilitate, în urma experimentărilor s-a optat în forma finală a metodei pentru adaptarea standardului Uniunii Europene, astfel încât în locul intervalelor precizate de acesta s-au luat în considerare următoarele: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1</w:t>
      </w:r>
      <w:r>
        <w:rPr>
          <w:rFonts w:eastAsia="Arial" w:cs="Arial" w:ascii="Arial" w:hAnsi="Arial"/>
          <w:color w:val="auto"/>
          <w:spacing w:val="0"/>
          <w:w w:val="100"/>
          <w:sz w:val="20"/>
          <w:szCs w:val="20"/>
          <w:lang w:val="ro-RO"/>
        </w:rPr>
        <w:t xml:space="preserve"> </w:t>
        <w:tab/>
        <w:t xml:space="preserve">→ </w:t>
        <w:tab/>
        <w:t>frecvența evenimentului: o dată la peste 10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2</w:t>
      </w:r>
      <w:r>
        <w:rPr>
          <w:rFonts w:eastAsia="Arial" w:cs="Arial" w:ascii="Arial" w:hAnsi="Arial"/>
          <w:color w:val="auto"/>
          <w:spacing w:val="0"/>
          <w:w w:val="100"/>
          <w:sz w:val="20"/>
          <w:szCs w:val="20"/>
          <w:lang w:val="ro-RO"/>
        </w:rPr>
        <w:t xml:space="preserve"> </w:t>
        <w:tab/>
        <w:t xml:space="preserve">→ </w:t>
        <w:tab/>
        <w:t xml:space="preserve">frecvența de producere: o dată la 5 – 10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3</w:t>
      </w:r>
      <w:r>
        <w:rPr>
          <w:rFonts w:eastAsia="Arial" w:cs="Arial" w:ascii="Arial" w:hAnsi="Arial"/>
          <w:color w:val="auto"/>
          <w:spacing w:val="0"/>
          <w:w w:val="100"/>
          <w:sz w:val="20"/>
          <w:szCs w:val="20"/>
          <w:lang w:val="ro-RO"/>
        </w:rPr>
        <w:t xml:space="preserve"> </w:t>
        <w:tab/>
        <w:t xml:space="preserve">→ </w:t>
        <w:tab/>
        <w:t>o dată la 2 – 5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4</w:t>
      </w:r>
      <w:r>
        <w:rPr>
          <w:rFonts w:eastAsia="Arial" w:cs="Arial" w:ascii="Arial" w:hAnsi="Arial"/>
          <w:color w:val="auto"/>
          <w:spacing w:val="0"/>
          <w:w w:val="100"/>
          <w:sz w:val="20"/>
          <w:szCs w:val="20"/>
          <w:lang w:val="ro-RO"/>
        </w:rPr>
        <w:t xml:space="preserve"> </w:t>
        <w:tab/>
        <w:t xml:space="preserve">→ </w:t>
        <w:tab/>
        <w:t>o dată la 1 – 2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5</w:t>
      </w:r>
      <w:r>
        <w:rPr>
          <w:rFonts w:eastAsia="Arial" w:cs="Arial" w:ascii="Arial" w:hAnsi="Arial"/>
          <w:color w:val="auto"/>
          <w:spacing w:val="0"/>
          <w:w w:val="100"/>
          <w:sz w:val="20"/>
          <w:szCs w:val="20"/>
          <w:lang w:val="ro-RO"/>
        </w:rPr>
        <w:t xml:space="preserve"> </w:t>
        <w:tab/>
        <w:t xml:space="preserve">→ </w:t>
        <w:tab/>
        <w:t>o dată la 1 an – 1 lună;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6</w:t>
      </w:r>
      <w:r>
        <w:rPr>
          <w:rFonts w:eastAsia="Arial" w:cs="Arial" w:ascii="Arial" w:hAnsi="Arial"/>
          <w:color w:val="auto"/>
          <w:spacing w:val="0"/>
          <w:w w:val="100"/>
          <w:sz w:val="20"/>
          <w:szCs w:val="20"/>
          <w:lang w:val="ro-RO"/>
        </w:rPr>
        <w:t xml:space="preserve"> </w:t>
        <w:tab/>
        <w:t xml:space="preserve">→ </w:t>
        <w:tab/>
        <w:t>o dată la mai puțin de o lună.</w:t>
      </w:r>
    </w:p>
    <w:p>
      <w:pPr>
        <w:pStyle w:val="Normal"/>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Grila de evaluare a riscurilor</w:t>
      </w:r>
      <w:r>
        <w:rPr>
          <w:rFonts w:eastAsia="Arial" w:cs="Arial" w:ascii="Arial" w:hAnsi="Arial"/>
          <w:color w:val="auto"/>
          <w:spacing w:val="0"/>
          <w:w w:val="100"/>
          <w:sz w:val="20"/>
          <w:szCs w:val="20"/>
          <w:lang w:val="ro-RO"/>
        </w:rPr>
        <w:t xml:space="preserve"> (Anexa 4) este de fapt transpunerea sub formă tabelară a graficului din figura 1.5 b prezentat în capitolul precedent. Liniile din tabel sunt liniile claselor de gravitate din grafic, iar coloanele – coloanele claselor de probabilitate. Fiecare căsuță corespunde câte unui punct din grafic, de coordonatele </w:t>
      </w:r>
      <w:r>
        <w:rPr>
          <w:rFonts w:eastAsia="Arial" w:cs="Arial" w:ascii="Arial" w:hAnsi="Arial"/>
          <w:iCs/>
          <w:color w:val="auto"/>
          <w:spacing w:val="0"/>
          <w:w w:val="100"/>
          <w:sz w:val="20"/>
          <w:szCs w:val="20"/>
          <w:lang w:val="ro-RO"/>
        </w:rPr>
        <w:t>g</w:t>
      </w:r>
      <w:r>
        <w:rPr>
          <w:rFonts w:eastAsia="Arial" w:cs="Arial" w:ascii="Arial" w:hAnsi="Arial"/>
          <w:color w:val="auto"/>
          <w:spacing w:val="0"/>
          <w:w w:val="100"/>
          <w:sz w:val="20"/>
          <w:szCs w:val="20"/>
          <w:lang w:val="ro-RO"/>
        </w:rPr>
        <w:t xml:space="preserve">,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 Culorile diferite marchează secțiunile obținute în grafic prin trasarea curbelor de nivel.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Cu ajutorul grilei se realizează exprimarea efectivă a riscurilor existente în sistemul analizat, sub forma cuplului gravitate – frecvență de apariție.</w:t>
      </w:r>
    </w:p>
    <w:p>
      <w:pPr>
        <w:pStyle w:val="Normal"/>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Scala de încadrare a nivelurilor de risc/ securitate a muncii</w:t>
      </w:r>
      <w:r>
        <w:rPr>
          <w:rFonts w:eastAsia="Arial" w:cs="Arial" w:ascii="Arial" w:hAnsi="Arial"/>
          <w:color w:val="auto"/>
          <w:spacing w:val="0"/>
          <w:w w:val="100"/>
          <w:sz w:val="20"/>
          <w:szCs w:val="20"/>
          <w:lang w:val="ro-RO"/>
        </w:rPr>
        <w:t xml:space="preserve"> (Anexa 5), construită pe baza grilei de evaluare a riscurilor, este un instrument utilizat în aprecierea nivelului riscului previzionat, respectiv a nivelului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Scala cuprinde în fapt cele 7 zone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(capitolul 1), transformate în niveluri, numerotate de la 1 la 7 pentru nivelul de risc și de la 7 la 1 pentru nivelul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zona centrală a formularului sunt prezentate explicit elementele din submatricele delimitate, precum și elementele singulare corespunzătoare fiecărui nivel de risc, respectiv toate cuplurile gravitate – probabilitate aferente nivelurilor de risc.</w:t>
      </w:r>
    </w:p>
    <w:p>
      <w:pPr>
        <w:pStyle w:val="Normal"/>
        <w:keepNext/>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Fișa de evaluare a locului de muncă</w:t>
      </w:r>
      <w:r>
        <w:rPr>
          <w:rFonts w:eastAsia="Arial" w:cs="Arial" w:ascii="Arial" w:hAnsi="Arial"/>
          <w:color w:val="auto"/>
          <w:spacing w:val="0"/>
          <w:w w:val="100"/>
          <w:sz w:val="20"/>
          <w:szCs w:val="20"/>
          <w:lang w:val="ro-RO"/>
        </w:rPr>
        <w:t xml:space="preserve"> (capitolul V, punctul III al fiecărei evaluări) este documentul centralizator al tuturor operațiilor de identificare și evaluare a riscurilor de accidentare și/ sau îmbolnăvire profesională. Ca urmare, acest formular cuprinde: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date de identificare a locului de muncă: unitatea, secția (atelierul), locul de muncă;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date de identificare a evaluatorului: nume, prenume, funcție;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componentele generice ale sistemului de muncă;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nominalizarea factorilor de risc identificați;</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explicitarea formelor concrete de manifestare a factorilor de risc identificați (descriere, parametri și caracteristici funcționale);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consecința maximă previzibilă a acțiunii factorilor de risc;</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clasa de gravitate și probabilitate previzionată;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nivelul de risc.</w:t>
      </w:r>
    </w:p>
    <w:p>
      <w:pPr>
        <w:pStyle w:val="Normal"/>
        <w:widowControl/>
        <w:numPr>
          <w:ilvl w:val="0"/>
          <w:numId w:val="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Fișa de măsuri propuse</w:t>
      </w:r>
      <w:r>
        <w:rPr>
          <w:rFonts w:eastAsia="Arial" w:cs="Arial" w:ascii="Arial" w:hAnsi="Arial"/>
          <w:color w:val="auto"/>
          <w:spacing w:val="0"/>
          <w:w w:val="100"/>
          <w:sz w:val="20"/>
          <w:szCs w:val="20"/>
          <w:lang w:val="ro-RO"/>
        </w:rPr>
        <w:t xml:space="preserve"> este un formular pentru centralizarea măsurilor de prevenire necesare de aplicat, rezultate din evaluarea locului de muncă sub aspectul securității muncii.</w:t>
      </w:r>
    </w:p>
    <w:p>
      <w:pPr>
        <w:pStyle w:val="Normal"/>
        <w:widowControl/>
        <w:tabs>
          <w:tab w:val="clear" w:pos="720"/>
          <w:tab w:val="left" w:pos="540" w:leader="none"/>
          <w:tab w:val="left" w:pos="324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clear" w:pos="720"/>
          <w:tab w:val="left" w:pos="540" w:leader="none"/>
          <w:tab w:val="left" w:pos="324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tabs>
          <w:tab w:val="clear" w:pos="720"/>
          <w:tab w:val="left" w:pos="540" w:leader="none"/>
          <w:tab w:val="left" w:pos="3240" w:leader="none"/>
        </w:tabs>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II.III. APLICAREA METODEI</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1.1. Procedura de lucru:</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 Constituirea echipei de analiză și evaluare: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Primul pas în aplicarea metodei îl reprezintă constituirea echipei de analiză și evaluare. Aceasta va cuprinde specialiști în domeniul securității muncii și tehnologi, buni cunoscători ai proceselor de muncă analizate.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Înainte de începerea activității, membrii echipei trebuie să cunoască în detaliu metoda de evaluare, instrumentele utilizate și procedurile concrete de lucru. De asemenea, este necesară o minimă documentare prealabilă asupra locurilor de muncă și proceselor tehnologice care urmează să fie analizate și evaluate.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După constituirea echipei de analiză și evaluare, respectiv după însușirea metodei, se trece la parcurgerea etapelor propriu-zise.</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B. Descrierea sistemului de analizat:</w:t>
      </w:r>
    </w:p>
    <w:p>
      <w:pPr>
        <w:pStyle w:val="Normal"/>
        <w:keepNext/>
        <w:widowControl/>
        <w:spacing w:before="0" w:after="120"/>
        <w:ind w:hanging="0"/>
        <w:jc w:val="left"/>
        <w:rPr>
          <w:rFonts w:ascii="Arial" w:hAnsi="Arial" w:cs="Arial"/>
          <w:spacing w:val="-2"/>
          <w:sz w:val="18"/>
          <w:szCs w:val="18"/>
        </w:rPr>
      </w:pPr>
      <w:r>
        <w:rPr>
          <w:rFonts w:eastAsia="Arial" w:cs="Arial" w:ascii="Arial" w:hAnsi="Arial"/>
          <w:color w:val="auto"/>
          <w:spacing w:val="0"/>
          <w:w w:val="100"/>
          <w:sz w:val="20"/>
          <w:szCs w:val="20"/>
          <w:lang w:val="ro-RO"/>
        </w:rPr>
        <w:t>În această etapă se efectuează o analiză detaliată a locului de muncă, urmărind:</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 xml:space="preserve">identificarea și descrierea componentelor sistemului și modului său de funcționare: scopul sistemului, descrierea procesului tehnologic, a operațiilor de muncă, mașinile și utilajele folosite – parametri și caracteristici funcționale, unelte etc.;</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precizarea în mod expres a sarcinii de muncă ce-i revine executantului în sistem (pe baza fișei postului, a ordinelor și deciziilor scrise, a dispozițiilor verbale date în mod curent etc.);</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descrierea condițiilor de mediu existente;</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precizarea cerințelor de securitate pentru fiecare componentă a sistemului, pe baza normelor și standardelor de securitate a muncii, precum și a altor acte normative incidente.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Informațiile necesare pentru această etapă se preiau din documentele întreprinderii (fișa tehnologică, cărțile tehnice ale mașinilor și utilajelor, fișa postului pentru executant, caiete de sarcini, buletine de analiză a factorilor de mediu, norme, standarde și instrucțiuni de securitate a muncii). O sursă complementară de informații pentru definirea sistemului o constituie discuțiile cu lucrătorii de la locul de muncă analizat.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C. Identificarea factorilor de risc din sistem:</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În această etapă, esențială pentru calitatea analizei, se stabilește pentru fiecare componentă a sistemului de muncă evaluat (respectiv loc de muncă), în baza listei prestabilite (Anexa 1), ce disfuncții poate prezenta, în toate situațiile previzibile și probabile de funcționare.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identificarea tuturor riscurilor posibile este deci necesară simularea funcționării sistemului și deducerea respectivelor abateri. Aceasta se poate face fie printr-o analiză verbală cu tehnologul, în cazul unor locuri de muncă relativ puțin periculoase, în care disfuncțiile accidentogene (sau generatoare de îmbolnăviri) sunt cvasievidente, fie prin aplicarea metodei arborelui de evenimente.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simularea se poate realiza concret, pe un model experimental sau prin procesare pe computer.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Indiferent de soluția adoptată, metodele de lucru sunt observarea directă și deducția logică.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cazul factorilor de risc obiectivi (generați de mijloacele de producție sau mediul de muncă), identificarea lor este relativ ușoară, cunoscându-se parametrii și caracteristicile funcționale ale mașinilor, utilajelor, instalațiilor, proprietățile fizico-chimice ale materiilor și materialelor utilizate sau dispunându-se de buletinele de analiză a condițiilor de mediu.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Referitor la executant, operația este mult mai dificilă și implică un grad ridicat de nedeterminare. Pe cât posibil, se analizează toate erorile previzibile și probabile ale acestuia în raport cu sarcina de muncă atribuită, sub forma omisiunilor și acțiunilor sale greșite, precum și impactul lor asupra propriei sale securități și asupra celorlalte elemente ale sistemului.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Identificarea factorilor de risc dependenți de sarcina de muncă se realizează, pe de o parte, prin analiza conformității dintre conținutul său și capacitatea de muncă a executantului căruia îi este atribuită, iar pe de altă parte, prin precizarea eventualelor operații, reguli de muncă, procedee de lucru greșite.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Factorii de risc identificați se înscriu în Fișa de evaluare a locului de muncă (capitolul V, punctul III al fiecărei evaluări), unde se mai specifică, în aceeași etapă, și forma lor concretă de manifestare: descrierea acestora și dimensiunea parametrilor prin care se apreciază respectivul factor (de exemplu, rezistența la apăsare, forfecare, greutate și dimensiuni, curba C</w:t>
      </w:r>
      <w:r>
        <w:rPr>
          <w:rFonts w:eastAsia="Arial" w:cs="Arial" w:ascii="Arial" w:hAnsi="Arial"/>
          <w:color w:val="auto"/>
          <w:spacing w:val="0"/>
          <w:w w:val="100"/>
          <w:sz w:val="20"/>
          <w:szCs w:val="20"/>
          <w:vertAlign w:val="subscript"/>
          <w:lang w:val="ro-RO"/>
        </w:rPr>
        <w:t>z</w:t>
      </w:r>
      <w:r>
        <w:rPr>
          <w:rFonts w:eastAsia="Arial" w:cs="Arial" w:ascii="Arial" w:hAnsi="Arial"/>
          <w:color w:val="auto"/>
          <w:spacing w:val="0"/>
          <w:w w:val="100"/>
          <w:sz w:val="20"/>
          <w:szCs w:val="20"/>
          <w:lang w:val="ro-RO"/>
        </w:rPr>
        <w:t xml:space="preserve"> etc.).</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D. Evaluarea riscurilor: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determinarea consecințelor posibile ale acțiunii factorilor de risc se utilizează lista din Anexa 2. Gravitatea consecinței astfel stabilite se apreciază pe baza grilei din Anexa 3.</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Informații importante pentru aprecierea cât mai exactă a gravității consecințelor posibile se obțin din statisticile accidentelor de muncă și bolilor profesionale produse la locul de muncă respectiv sau la locuri de muncă similare.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determinarea frecvenței consecințelor posibile se folosește scala din Anexa 3. Încadrarea în clasele de probabilitate se face după ce se stabilesc, pe bază statistică sau de calcul, intervalele la care se pot produce evenimentele (zilnic, săptămânal, lunar, anual etc.). Intervalele respective se transformă ulterior în frecvențe exprimate prin număr de evenimente posibile pe an.</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Rezultatul obținut în urma procedurilor anterioare se identifică în Grila de evaluare a riscurilor (Anexa 4) și se înscrie în Fișa locului de muncă (capitolul V, punctul III al fiecărei evaluări). Cu ajutorul scalei de încadrare a nivelurilor de risc/securitate se determină apoi aceste niveluri pentru fiecare factor de risc în parte. Se obține astfel o ierarhizare a dimensiunii riscurilor la locul de muncă, ceea ce dă posibilitatea stabilirii unei priorități a măsurilor de prevenire și protecție, în funcție de factorul de risc cu nivelul cel mai mare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risc global (Nr) pe locul de muncă se calculează ca o medie ponderată a nivelurilor de risc stabilite pentru factorii de risc identificați. Pentru ca rezultatul obținut să reflecte cât mai exact posibil realitatea, se utilizează ca element de ponderare rangul factorului de risc, care este egal cu nivelul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mod, factorul cu cel mai mare nivel de risc va avea și rangul cel mai mare. Se elimină astfel posibilitatea ca efectul de compensare între extreme, pe care îl implică orice medie statistică, să mascheze prezența factorului cu nivel maxim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Formula de calcul al nivelului de risc global este următoarea:</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r</m:t>
              </m:r>
            </m:sub>
          </m:sSub>
          <m:r>
            <w:rPr>
              <w:rFonts w:ascii="Cambria Math" w:hAnsi="Cambria Math"/>
            </w:rPr>
            <m:t xml:space="preserve">=</m:t>
          </m:r>
          <m:f>
            <m:num>
              <m:nary>
                <m:naryPr>
                  <m:chr m:val="∑"/>
                </m:naryPr>
                <m:sub>
                  <m:r>
                    <m:rPr>
                      <m:lit/>
                      <m:nor/>
                    </m:rPr>
                    <w:rPr>
                      <w:rFonts w:ascii="Cambria Math" w:hAnsi="Cambria Math"/>
                    </w:rPr>
                    <m:t xml:space="preserve">i=1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i</m:t>
                      </m:r>
                    </m:sub>
                  </m:sSub>
                </m:e>
              </m:nary>
            </m:num>
            <m:den>
              <m:nary>
                <m:naryPr>
                  <m:chr m:val="∑"/>
                </m:naryPr>
                <m:sub>
                  <m:r>
                    <m:rPr>
                      <m:lit/>
                      <m:nor/>
                    </m:rPr>
                    <w:rPr>
                      <w:rFonts w:ascii="Cambria Math" w:hAnsi="Cambria Math"/>
                    </w:rPr>
                    <m:t xml:space="preserve">i=1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i</m:t>
                      </m:r>
                    </m:sub>
                  </m:sSub>
                </m:e>
              </m:nary>
            </m:den>
          </m:f>
        </m:oMath>
      </m:oMathPara>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Unde: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iCs/>
          <w:color w:val="auto"/>
          <w:spacing w:val="0"/>
          <w:w w:val="100"/>
          <w:sz w:val="20"/>
          <w:szCs w:val="20"/>
          <w:vertAlign w:val="subscript"/>
          <w:lang w:val="ro-RO"/>
        </w:rPr>
        <w:t>r</w:t>
      </w:r>
      <w:r>
        <w:rPr>
          <w:rFonts w:eastAsia="Arial" w:cs="Arial" w:ascii="Arial" w:hAnsi="Arial"/>
          <w:color w:val="auto"/>
          <w:spacing w:val="0"/>
          <w:w w:val="100"/>
          <w:sz w:val="20"/>
          <w:szCs w:val="20"/>
          <w:vertAlign w:val="subscript"/>
          <w:lang w:val="ro-RO"/>
        </w:rPr>
        <w:t xml:space="preserve"> </w:t>
      </w:r>
      <w:r>
        <w:rPr>
          <w:rFonts w:eastAsia="Arial" w:cs="Arial" w:ascii="Arial" w:hAnsi="Arial"/>
          <w:color w:val="auto"/>
          <w:spacing w:val="0"/>
          <w:w w:val="100"/>
          <w:sz w:val="20"/>
          <w:szCs w:val="20"/>
          <w:lang w:val="ro-RO"/>
        </w:rPr>
        <w:t>-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i</w:t>
      </w:r>
      <w:r>
        <w:rPr>
          <w:rFonts w:eastAsia="Arial" w:cs="Arial" w:ascii="Arial" w:hAnsi="Arial"/>
          <w:color w:val="auto"/>
          <w:spacing w:val="0"/>
          <w:w w:val="100"/>
          <w:sz w:val="20"/>
          <w:szCs w:val="20"/>
          <w:lang w:val="ro-RO"/>
        </w:rPr>
        <w:t xml:space="preserve"> - rangul factorului de risc „</w:t>
      </w:r>
      <w:r>
        <w:rPr>
          <w:rFonts w:eastAsia="Arial" w:cs="Arial" w:ascii="Arial" w:hAnsi="Arial"/>
          <w:iCs/>
          <w:color w:val="auto"/>
          <w:spacing w:val="0"/>
          <w:w w:val="100"/>
          <w:sz w:val="20"/>
          <w:szCs w:val="20"/>
          <w:lang w:val="ro-RO"/>
        </w:rPr>
        <w:t>i</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i</w:t>
      </w:r>
      <w:r>
        <w:rPr>
          <w:rFonts w:eastAsia="Arial" w:cs="Arial" w:ascii="Arial" w:hAnsi="Arial"/>
          <w:color w:val="auto"/>
          <w:spacing w:val="0"/>
          <w:w w:val="100"/>
          <w:sz w:val="20"/>
          <w:szCs w:val="20"/>
          <w:lang w:val="ro-RO"/>
        </w:rPr>
        <w:t xml:space="preserve"> - nivelul de risc pentru factorul de risc „</w:t>
      </w:r>
      <w:r>
        <w:rPr>
          <w:rFonts w:eastAsia="Arial" w:cs="Arial" w:ascii="Arial" w:hAnsi="Arial"/>
          <w:iCs/>
          <w:color w:val="auto"/>
          <w:spacing w:val="0"/>
          <w:w w:val="100"/>
          <w:sz w:val="20"/>
          <w:szCs w:val="20"/>
          <w:lang w:val="ro-RO"/>
        </w:rPr>
        <w:t>i</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color w:val="auto"/>
          <w:spacing w:val="0"/>
          <w:w w:val="100"/>
          <w:sz w:val="20"/>
          <w:szCs w:val="20"/>
          <w:lang w:val="ro-RO"/>
        </w:rPr>
        <w:t xml:space="preserve"> - numărul factorilor de risc identificați la locul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securitate (N</w:t>
      </w:r>
      <w:r>
        <w:rPr>
          <w:rFonts w:eastAsia="Arial" w:cs="Arial" w:ascii="Arial" w:hAnsi="Arial"/>
          <w:color w:val="auto"/>
          <w:spacing w:val="0"/>
          <w:w w:val="100"/>
          <w:sz w:val="20"/>
          <w:szCs w:val="20"/>
          <w:vertAlign w:val="subscript"/>
          <w:lang w:val="ro-RO"/>
        </w:rPr>
        <w:t>S</w:t>
      </w:r>
      <w:r>
        <w:rPr>
          <w:rFonts w:eastAsia="Arial" w:cs="Arial" w:ascii="Arial" w:hAnsi="Arial"/>
          <w:color w:val="auto"/>
          <w:spacing w:val="0"/>
          <w:w w:val="100"/>
          <w:sz w:val="20"/>
          <w:szCs w:val="20"/>
          <w:lang w:val="ro-RO"/>
        </w:rPr>
        <w:t>) pe loc de muncă se identifică pe Scala de încadrare a nivelurilor de risc/securitate, construită pe principiul invers proporționalității nivelurilor de risc și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Atât nivelul de risc global, cât și nivelul de securitate se înscriu în Fișa locului de muncă (capitolul V, punctul III al fiecărei evaluări).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cazul evaluării unor macrosisteme (sector, secție, întreprindere), se calculează media ponderată a nivelurilor medii de securitate determinate pentru fiecare loc de muncă analizat din componența macrosistemului (locurile de muncă similare se consideră ca un singur loc de muncă), pentru a se obține nivelul global de securitate a muncii pentru atelierul/secția/sectorul sau întreprinderea investigată – N</w:t>
      </w:r>
      <w:r>
        <w:rPr>
          <w:rFonts w:eastAsia="Arial" w:cs="Arial" w:ascii="Arial" w:hAnsi="Arial"/>
          <w:color w:val="auto"/>
          <w:spacing w:val="0"/>
          <w:w w:val="100"/>
          <w:sz w:val="20"/>
          <w:szCs w:val="20"/>
          <w:vertAlign w:val="subscript"/>
          <w:lang w:val="ro-RO"/>
        </w:rPr>
        <w:t>g</w:t>
      </w:r>
      <w:r>
        <w:rPr>
          <w:rFonts w:eastAsia="Arial" w:cs="Arial" w:ascii="Arial" w:hAnsi="Arial"/>
          <w:color w:val="auto"/>
          <w:spacing w:val="0"/>
          <w:w w:val="100"/>
          <w:sz w:val="20"/>
          <w:szCs w:val="20"/>
          <w:lang w:val="ro-RO"/>
        </w:rPr>
        <w:t>:</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g</m:t>
              </m:r>
            </m:sub>
          </m:sSub>
          <m:r>
            <w:rPr>
              <w:rFonts w:ascii="Cambria Math" w:hAnsi="Cambria Math"/>
            </w:rPr>
            <m:t xml:space="preserve">=</m:t>
          </m:r>
          <m:f>
            <m:num>
              <m:nary>
                <m:naryPr>
                  <m:chr m:val="∑"/>
                </m:naryPr>
                <m:sub>
                  <m:r>
                    <m:rPr>
                      <m:lit/>
                      <m:nor/>
                    </m:rPr>
                    <w:rPr>
                      <w:rFonts w:ascii="Cambria Math" w:hAnsi="Cambria Math"/>
                    </w:rPr>
                    <m:t xml:space="preserve">p=1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N</m:t>
                      </m:r>
                    </m:e>
                    <m:sub>
                      <m:r>
                        <m:rPr>
                          <m:lit/>
                          <m:nor/>
                        </m:rPr>
                        <w:rPr>
                          <w:rFonts w:ascii="Cambria Math" w:hAnsi="Cambria Math"/>
                        </w:rPr>
                        <m:t xml:space="preserve">sp</m:t>
                      </m:r>
                    </m:sub>
                  </m:sSub>
                </m:e>
              </m:nary>
            </m:num>
            <m:den>
              <m:nary>
                <m:naryPr>
                  <m:chr m:val="∑"/>
                </m:naryPr>
                <m:sub>
                  <m:r>
                    <w:rPr>
                      <w:rFonts w:ascii="Cambria Math" w:hAnsi="Cambria Math"/>
                    </w:rPr>
                    <m:t xml:space="preserve">p</m:t>
                  </m:r>
                  <m:r>
                    <w:rPr>
                      <w:rFonts w:ascii="Cambria Math" w:hAnsi="Cambria Math"/>
                    </w:rPr>
                    <m:t xml:space="preserve">=</m:t>
                  </m:r>
                  <m:r>
                    <w:rPr>
                      <w:rFonts w:ascii="Cambria Math" w:hAnsi="Cambria Math"/>
                    </w:rPr>
                    <m:t xml:space="preserve">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p</m:t>
                      </m:r>
                    </m:sub>
                  </m:sSub>
                </m:e>
              </m:nary>
            </m:den>
          </m:f>
        </m:oMath>
      </m:oMathPara>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Unde: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p</w:t>
      </w:r>
      <w:r>
        <w:rPr>
          <w:rFonts w:eastAsia="Arial" w:cs="Arial" w:ascii="Arial" w:hAnsi="Arial"/>
          <w:i/>
          <w:iCs/>
          <w:color w:val="auto"/>
          <w:spacing w:val="0"/>
          <w:w w:val="100"/>
          <w:sz w:val="20"/>
          <w:szCs w:val="20"/>
          <w:lang w:val="ro-RO"/>
        </w:rPr>
        <w:t xml:space="preserve"> </w:t>
      </w:r>
      <w:r>
        <w:rPr>
          <w:rFonts w:eastAsia="Arial" w:cs="Arial" w:ascii="Arial" w:hAnsi="Arial"/>
          <w:color w:val="auto"/>
          <w:spacing w:val="0"/>
          <w:w w:val="100"/>
          <w:sz w:val="20"/>
          <w:szCs w:val="20"/>
          <w:lang w:val="ro-RO"/>
        </w:rPr>
        <w:t>- rangul locului de muncă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 (egal ca valoare cu nivelul de risc al locului);</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color w:val="auto"/>
          <w:spacing w:val="0"/>
          <w:w w:val="100"/>
          <w:sz w:val="20"/>
          <w:szCs w:val="20"/>
          <w:lang w:val="ro-RO"/>
        </w:rPr>
        <w:t xml:space="preserve"> - numărul de locuri de muncă analizate;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iCs/>
          <w:color w:val="auto"/>
          <w:spacing w:val="0"/>
          <w:w w:val="100"/>
          <w:sz w:val="20"/>
          <w:szCs w:val="20"/>
          <w:vertAlign w:val="subscript"/>
          <w:lang w:val="ro-RO"/>
        </w:rPr>
        <w:t>sp</w:t>
      </w:r>
      <w:r>
        <w:rPr>
          <w:rFonts w:eastAsia="Arial" w:cs="Arial" w:ascii="Arial" w:hAnsi="Arial"/>
          <w:color w:val="auto"/>
          <w:spacing w:val="0"/>
          <w:w w:val="100"/>
          <w:sz w:val="20"/>
          <w:szCs w:val="20"/>
          <w:lang w:val="ro-RO"/>
        </w:rPr>
        <w:t xml:space="preserve"> - nivelul mediu de securitate a muncii pentru locul de muncă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E. Stabilirea măsurilor de prevenire: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stabilirea măsurilor necesare îmbunătățirii nivelului de securitate a sistemului de muncă analizat se impune luarea în considerare a ierarhiei riscurilor evaluate, conform Scalei de încadrare a nivelurilor de risc/securitate a muncii în ordinea:</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7 – 1 dacă se operează cu nivelurile de risc;</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 7 dacă se operează cu nivelurile de securitate.</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se ține seama de ordinea ierarhică generică a măsurilor de prevenire, respectiv:</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prevenire intrinsecă;</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protecție colectivă;</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protecție individuală.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Măsurile propuse se înscriu în Fișa de măsuri de prevenire propuse.</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metodei se încheie cu redactarea raportului analizei. Acesta este un instrument neformalizat care trebuie să conțină, clar și succint, următoarele:</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modul de desfășurare a analizei;</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persoanele implicate;</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rezultatele evaluării, respectiv fișele locurilor de muncă cu nivelurile de risc;</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interpretarea rezultatelor evaluării;</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fișele de măsuri de prevenire.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1.2. Condiții de aplicare: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ca aplicarea metodei să conducă la cele mai relevante rezultate, prima condiție este ca sistemul ce urmează să fie analizat să fie un loc de muncă, bine definit sub aspectul scopului și elementelor sale. În acest mod se limitează numărul și tipul de interrelaționări potențiale ce urmează să fie investigate și implicit factorii de risc de luat în considerare.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 altă condiție deosebit de importantă este existența unei echipe de evaluare, complexă și multidisciplinară, care să includă specialiști în securitatea muncii, proiectanți, tehnologi, ergonomi, medici specialiști în medicina muncii etc., corespunzător naturii variate a elementelor sistemelor de muncă, dar și a factorilor de risc. Conducătorul echipei trebuie să fie specialistul în securitatea muncii, al cărui rol principal va fi de armonizare a punctelor de vedere ale celorlalți evaluatori, în sensul subordonării și integrării criteriilor folosite de fiecare dintre ei scopului urmărit prin analiză: evaluarea securității muncii.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 avantaj al metodei elaborate în cadrul I.N.C.D.P.M. București îl constituie faptul că aplicarea ei nu este limitată de condiția existenței fizice a sistemului de evaluat. Ea poate fi utilizată în toate etapele legate de viața unui sistem de muncă sau a unui element al acestuia: concepția și proiectarea, realizarea fizică, constituirea și intrarea în funcțiune, desfășurarea procesului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Deoarece formele concrete de manifestare a factorilor de risc, chiar și pentru un sistem relativ simplu, sunt multiple, procedura de lucru în cadrul acestei metode este relativ laborioasă. Aplicarea ei și gestionarea riscurilor la locurile de muncă pe baza rezultatelor obținute necesită personal specializat și tehnică de calcul.</w:t>
      </w:r>
    </w:p>
    <w:p>
      <w:pPr>
        <w:pStyle w:val="Normal"/>
        <w:widowControl/>
        <w:spacing w:before="0" w:after="0"/>
        <w:ind w:hanging="0"/>
        <w:jc w:val="left"/>
        <w:rPr>
          <w:rFonts w:ascii="Arial" w:hAnsi="Arial" w:cs="Arial"/>
          <w:b/>
          <w:bCs/>
          <w:sz w:val="2"/>
          <w:szCs w:val="18"/>
        </w:rPr>
      </w:pPr>
      <w:r>
        <w:rPr>
          <w:rFonts w:eastAsia="Arial" w:cs="Arial" w:ascii="Arial" w:hAnsi="Arial"/>
          <w:b/>
          <w:bCs/>
          <w:color w:val="auto"/>
          <w:spacing w:val="0"/>
          <w:w w:val="100"/>
          <w:sz w:val="2"/>
          <w:szCs w:val="20"/>
          <w:lang w:val="ro-RO"/>
        </w:rPr>
      </w:r>
    </w:p>
    <w:p>
      <w:pPr>
        <w:pStyle w:val="Normal"/>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1.3. Considerații privind utilizarea tehnicii de calcul automate în aplicarea metodei și gestiunea computerizată a riscurilor: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practică a metodei de evaluare a riscurilor în sistemul de muncă este suficient de laborioasă, ca număr de informații care trebuie luate în considerare în cazul urmăririi mai multor locuri de muncă, pentru a justifica folosirea tehnicilor moderne de prelucrare automată a datelor.</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Utilizarea calculatorului este posibilă datorită anumitor caracteristici ale metodei, respectiv:</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procedura de lucru etapizată;</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existența unui algoritm de calcul al nivelului de risc;</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tipul de legături dintre variabilele luate în considerare la determinarea nivelului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Tehnica automată de calcul poate fi aplicată atât la evaluarea propriu-zisă a riscurilor, cât și la gestiunea computerizată a acestora în cadrul unității.</w:t>
      </w:r>
    </w:p>
    <w:p>
      <w:pPr>
        <w:pStyle w:val="Normal"/>
        <w:keepNext/>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În timpul evaluării propriu-zise utilizarea computerului este recomandabilă în două modalități:</w:t>
      </w:r>
    </w:p>
    <w:p>
      <w:pPr>
        <w:pStyle w:val="Normal"/>
        <w:keepNext/>
        <w:widowControl/>
        <w:numPr>
          <w:ilvl w:val="0"/>
          <w:numId w:val="1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constituirea unor bănci de date privind:</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durata de viață a echipamentelor tehnice;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timpul de funcționare;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numărul de persoane expuse;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timpul de expunere;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statistica accidentelor de muncă și bolilor profesionale produse și utilizarea lor pentru a determina cu mai mare acuratețe clasele de probabilitate;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calculul automat al nivelurilor de risc parțiale și al nivelului de risc global pe loc de muncă, sector de activitate, întreprindere.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Gestiunea computerizată a riscurilor</w:t>
      </w:r>
      <w:r>
        <w:rPr>
          <w:rFonts w:eastAsia="Arial" w:cs="Arial" w:ascii="Arial" w:hAnsi="Arial"/>
          <w:color w:val="auto"/>
          <w:spacing w:val="0"/>
          <w:w w:val="100"/>
          <w:sz w:val="20"/>
          <w:szCs w:val="20"/>
          <w:lang w:val="ro-RO"/>
        </w:rPr>
        <w:t xml:space="preserve"> presupune realizarea unor bănci de date complete și actualizabile permanent, cuprinzând datele din fișele de risc și de măsuri pentru toate locurile de muncă evaluate din unitate.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mod, în fiecare moment se poate cunoaște și corectă conform ultimei evaluări situația exactă a riscurilor existente, a dimensiunii acestora (nivelurile de risc), a măsurilor care trebuie luate, a celor care s-au luat, a răspunderilor și competențelor pentru respectivele măsuri.</w:t>
      </w:r>
    </w:p>
    <w:p>
      <w:pPr>
        <w:pStyle w:val="Normal"/>
        <w:widowControl/>
        <w:tabs>
          <w:tab w:val="clear" w:pos="720"/>
          <w:tab w:val="left" w:pos="4110" w:leader="none"/>
        </w:tabs>
        <w:spacing w:before="0" w:after="0"/>
        <w:ind w:hanging="0"/>
        <w:jc w:val="left"/>
        <w:rPr>
          <w:rFonts w:ascii="Arial" w:hAnsi="Arial" w:cs="Arial"/>
          <w:spacing w:val="-4"/>
          <w:sz w:val="2"/>
          <w:szCs w:val="18"/>
        </w:rPr>
      </w:pPr>
      <w:r>
        <w:rPr>
          <w:rFonts w:eastAsia="Arial" w:cs="Arial" w:ascii="Arial" w:hAnsi="Arial"/>
          <w:color w:val="auto"/>
          <w:spacing w:val="0"/>
          <w:w w:val="100"/>
          <w:sz w:val="2"/>
          <w:szCs w:val="20"/>
          <w:lang w:val="ro-RO"/>
        </w:rPr>
      </w:r>
    </w:p>
    <w:p>
      <w:pPr>
        <w:pStyle w:val="Normal"/>
        <w:widowControl/>
        <w:tabs>
          <w:tab w:val="clear" w:pos="720"/>
          <w:tab w:val="left" w:pos="4110" w:leader="none"/>
        </w:tabs>
        <w:spacing w:before="0" w:after="0"/>
        <w:ind w:hanging="0"/>
        <w:jc w:val="left"/>
        <w:rPr>
          <w:rFonts w:ascii="Arial" w:hAnsi="Arial" w:cs="Arial"/>
          <w:spacing w:val="-4"/>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III. PREZENTAREA UNITĂȚII</w:t>
      </w:r>
    </w:p>
    <w:p>
      <w:pPr>
        <w:pStyle w:val="Normal"/>
        <w:keepNext w:val="true"/>
        <w:widowControl/>
        <w:spacing w:before="0" w:after="0"/>
        <w:ind w:hanging="0"/>
        <w:jc w:val="left"/>
        <w:rPr>
          <w:rFonts w:ascii="Arial" w:hAnsi="Arial" w:cs="Arial"/>
          <w:b/>
          <w:sz w:val="2"/>
          <w:szCs w:val="18"/>
          <w:lang w:val="it-CH"/>
        </w:rPr>
      </w:pPr>
      <w:r>
        <w:rPr>
          <w:rFonts w:eastAsia="Arial" w:cs="Arial" w:ascii="Arial" w:hAnsi="Arial"/>
          <w:b/>
          <w:color w:val="auto"/>
          <w:spacing w:val="0"/>
          <w:w w:val="100"/>
          <w:sz w:val="2"/>
          <w:szCs w:val="20"/>
          <w:lang w:val="ro-RO"/>
        </w:rPr>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Denumirea unității: {{client.legalName}}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Reprezentantul legal: {{client.representativeName}}, {{client.representativeRole}}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Conducerea locurilor de muncă: {{workplaceManagersList}}</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Activitatea principală (clasa CAEN): {{riskAssessment.unit.activity}}</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Numărul total de angajați: {{riskAssessment.unit.employeeCount}}</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Sediu social și puncte de lucru:</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{{#riskAssessment.unit.workplaces}}</w:t>
      </w:r>
    </w:p>
    <w:p>
      <w:pPr>
        <w:pStyle w:val="Normal"/>
        <w:keepNext w:val="fals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{{label}}: {{address}}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{{/riskAssessment.unit.workplaces}}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{{#riskAssessment.unit.noWorkplaces}}</w:t>
      </w:r>
    </w:p>
    <w:p>
      <w:pPr>
        <w:pStyle w:val="Normal"/>
        <w:keepNext w:val="tru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Unitatea nu are înregistrat un sediu sau un punct de lucru.</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{{/riskAssessment.unit.noWorkplaces}}</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Informații privind executanții activităților – funcțiile de încadrare în unitate:</w:t>
      </w:r>
    </w:p>
    <w:tbl>
      <w:tblPr>
        <w:tblW w:w="5000" w:type="pct"/>
        <w:jc w:val="left"/>
        <w:tblInd w:w="55" w:type="dxa"/>
        <w:tblLayout w:type="fixed"/>
        <w:tblCellMar>
          <w:top w:w="55" w:type="dxa"/>
          <w:left w:w="55" w:type="dxa"/>
          <w:bottom w:w="55" w:type="dxa"/>
          <w:right w:w="55" w:type="dxa"/>
        </w:tblCellMar>
      </w:tblPr>
      <w:tblGrid>
        <w:gridCol w:w="701"/>
        <w:gridCol w:w="1871"/>
        <w:gridCol w:w="2339"/>
        <w:gridCol w:w="4444"/>
      </w:tblGrid>
      <w:tr>
        <w:trPr>
          <w:tblHeader w:val="true"/>
        </w:trPr>
        <w:tc>
          <w:tcPr>
            <w:tcW w:w="70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187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Loc de muncă</w:t>
            </w:r>
          </w:p>
        </w:tc>
        <w:tc>
          <w:tcPr>
            <w:tcW w:w="233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Post de lucru</w:t>
            </w:r>
          </w:p>
        </w:tc>
        <w:tc>
          <w:tcPr>
            <w:tcW w:w="4444"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Activități propriu-zise desfășurate</w:t>
            </w:r>
          </w:p>
        </w:tc>
      </w:tr>
      <w:tr>
        <w:trPr/>
        <w:tc>
          <w:tcPr>
            <w:tcW w:w="701"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{{#positions}}{{$index}}.</w:t>
            </w:r>
          </w:p>
        </w:tc>
        <w:tc>
          <w:tcPr>
            <w:tcW w:w="1871"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{{workZoneOrDash}}</w:t>
            </w:r>
          </w:p>
        </w:tc>
        <w:tc>
          <w:tcPr>
            <w:tcW w:w="233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{{name}}</w:t>
            </w:r>
          </w:p>
        </w:tc>
        <w:tc>
          <w:tcPr>
            <w:tcW w:w="4444"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{{activities}}{{/positions}}</w:t>
            </w:r>
          </w:p>
        </w:tc>
      </w:tr>
    </w:tbl>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IV. FORMAREA ECHIPELOR (COLECTIVULUI) DE EVALUARE A RISCURILOR DE ACCIDENTARE ȘI/ SAU ÎMBOLNĂVIRE PROFESIONALĂ PENTRU {{client.legalName}}</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keepNext w:val="false"/>
        <w:widowControl/>
        <w:spacing w:before="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 xml:space="preserve">Luând în considerare că evaluarea de risc de accidentare și îmbolnăvire profesională la {{client.legalName}} este un proces de analiză ce are ca scop îmbunătățirea continuă a condițiilor de muncă, echipa de evaluare a riscului trebuie privită ca un colectiv care desfășoară o activitate semipermanentă ale cărei acțiuni preventive se materializează prin adoptarea de măsuri tehnico-organizatorice și igienico-sanitare.</w:t>
      </w:r>
    </w:p>
    <w:p>
      <w:pPr>
        <w:pStyle w:val="Title"/>
        <w:keepNext w:val="true"/>
        <w:widowControl/>
        <w:spacing w:before="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Având în vedere complexitatea activității de evaluare a riscului, angajatorul trebuie să conștientizeze beneficiile pe care o evaluare obiectivă și actualizată periodic contribuie în mod cert la creșterea performanțelor productive ale angajaților, eficiența proceselor de muncă și asigurarea creșterii securității la locul de desfășurare a activităților.</w:t>
      </w:r>
    </w:p>
    <w:p>
      <w:pPr>
        <w:pStyle w:val="Title"/>
        <w:keepNext w:val="true"/>
        <w:widowControl/>
        <w:spacing w:before="0" w:after="0"/>
        <w:ind w:hanging="0"/>
        <w:jc w:val="left"/>
        <w:rPr>
          <w:rFonts w:ascii="Arial" w:hAnsi="Arial" w:cs="Arial"/>
          <w:b w:val="false"/>
          <w:sz w:val="2"/>
          <w:szCs w:val="18"/>
        </w:rPr>
      </w:pPr>
      <w:r>
        <w:rPr>
          <w:rFonts w:eastAsia="Arial" w:cs="Arial" w:ascii="Arial" w:hAnsi="Arial"/>
          <w:b w:val="false"/>
          <w:color w:val="auto"/>
          <w:spacing w:val="0"/>
          <w:w w:val="100"/>
          <w:sz w:val="2"/>
          <w:szCs w:val="20"/>
          <w:lang w:val="ro-RO"/>
        </w:rPr>
      </w:r>
    </w:p>
    <w:p>
      <w:pPr>
        <w:pStyle w:val="Normal"/>
        <w:keepNext w:val="true"/>
        <w:pageBreakBefore w:val="false"/>
        <w:widowControl/>
        <w:numPr>
          <w:ilvl w:val="0"/>
          <w:numId w:val="0"/>
        </w:numPr>
        <w:spacing w:before="0" w:after="120"/>
        <w:ind w:hanging="0" w:left="0"/>
        <w:jc w:val="left"/>
        <w:rPr>
          <w:rFonts w:ascii="Arial" w:hAnsi="Arial" w:cs="Arial"/>
          <w:b w:val="false"/>
          <w:sz w:val="18"/>
          <w:szCs w:val="18"/>
        </w:rPr>
      </w:pPr>
      <w:r>
        <w:rPr>
          <w:rFonts w:eastAsia="Arial" w:cs="Arial" w:ascii="Arial" w:hAnsi="Arial"/>
          <w:b w:val="false"/>
          <w:i w:val="false"/>
          <w:color w:val="auto"/>
          <w:spacing w:val="0"/>
          <w:w w:val="100"/>
          <w:sz w:val="20"/>
          <w:szCs w:val="20"/>
          <w:lang w:val="ro-RO"/>
        </w:rPr>
        <w:t>Prin decizia privind echipa de evaluare a riscurilor s-a stabilit echipa de evaluare pentru {{client.legalName}}, alcătuită din:</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{{#evaluationTeam}}</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{{name}} – {{jobTitle}}, {{client.legalName}}</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{{/evaluationTeam}}</w:t>
      </w:r>
    </w:p>
    <w:p>
      <w:pPr>
        <w:pStyle w:val="Normal"/>
        <w:keepNext w:val="false"/>
        <w:pageBreakBefore w:val="false"/>
        <w:widowControl/>
        <w:numPr>
          <w:ilvl w:val="0"/>
          <w:numId w:val="0"/>
        </w:numPr>
        <w:spacing w:before="0" w:after="120"/>
        <w:ind w:hanging="0" w:left="360"/>
        <w:jc w:val="left"/>
        <w:rPr>
          <w:rFonts w:ascii="Arial" w:hAnsi="Arial" w:cs="Arial"/>
          <w:sz w:val="20"/>
          <w:szCs w:val="20"/>
        </w:rPr>
      </w:pPr>
      <w:r>
        <w:rPr>
          <w:rFonts w:eastAsia="Arial" w:cs="Arial" w:ascii="Arial" w:hAnsi="Arial"/>
          <w:b w:val="false"/>
          <w:color w:val="auto"/>
          <w:sz w:val="20"/>
          <w:szCs w:val="20"/>
          <w:lang w:val="ro-RO"/>
        </w:rPr>
        <w:t xml:space="preserve">{{specialist.name}} – {{specialist.professionalTitle}}, {{provider.legalName}}</w:t>
      </w:r>
    </w:p>
    <w:p>
      <w:pPr>
        <w:pStyle w:val="Title"/>
        <w:widowControl/>
        <w:spacing w:before="12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Totodată, se va stabili necesitatea întocmirii unor noi proceduri, s-au stabilit etapele procesului de evaluare a riscurilor, durata și periodicitatea revizuirii evaluării riscurilor de accidentare și îmbolnăvire profesională (la modificări ale echipamentelor de muncă, care pot duce la apariția de noi riscuri de accidentare sau îmbolnăvire profesională) și întocmirea planului de prevenire și protecție. Acest plan se va actualiza ori de câte ori schimbările survenite în sistemul de muncă impun (prin apariția de noi riscuri) reevaluarea sistemului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Pentru fiecare loc de muncă, respectiv post de lucru în parte, determinarea (cuantificarea) cantitativă a nivelului de risc/ securitate a muncii pentru locurile de muncă se face pe baza analizei sistematice și evaluării riscurilor de accidentare și îmbolnăviri profesionale.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Această metodă se finalizează cu un document centralizator: FIȘA DE EVALUARE A LOCULUI DE MUNCĂ – care cuprinde nivelul de risc global pentru acel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Procedura de lucru a metodei de evaluare prin analiză sistematică cuprinde, pe lângă etapele propriu-zise și alte activități (valabile pentru fiecare loc de muncă / post de lucru evaluat), după cum urmează: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w:t>
      </w:r>
      <w:r>
        <w:rPr>
          <w:rFonts w:eastAsia="Arial" w:cs="Arial" w:ascii="Arial" w:hAnsi="Arial"/>
          <w:color w:val="auto"/>
          <w:spacing w:val="0"/>
          <w:w w:val="100"/>
          <w:sz w:val="20"/>
          <w:szCs w:val="20"/>
          <w:lang w:val="ro-RO"/>
        </w:rPr>
        <w:t xml:space="preserve"> definirea locului de muncă și analiza acestuia și determinarea elementelor componente ale sistemului de muncă evaluat;</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w:t>
      </w:r>
      <w:r>
        <w:rPr>
          <w:rFonts w:eastAsia="Arial" w:cs="Arial" w:ascii="Arial" w:hAnsi="Arial"/>
          <w:color w:val="auto"/>
          <w:spacing w:val="0"/>
          <w:w w:val="100"/>
          <w:sz w:val="20"/>
          <w:szCs w:val="20"/>
          <w:lang w:val="ro-RO"/>
        </w:rPr>
        <w:t xml:space="preserve"> identificarea factorilor de risc specifici locului de muncă;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III.</w:t>
      </w:r>
      <w:r>
        <w:rPr>
          <w:rFonts w:eastAsia="Arial" w:cs="Arial" w:ascii="Arial" w:hAnsi="Arial"/>
          <w:color w:val="auto"/>
          <w:spacing w:val="0"/>
          <w:w w:val="100"/>
          <w:sz w:val="20"/>
          <w:szCs w:val="20"/>
          <w:lang w:val="ro-RO"/>
        </w:rPr>
        <w:t xml:space="preserv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IV.</w:t>
      </w:r>
      <w:r>
        <w:rPr>
          <w:rFonts w:eastAsia="Arial" w:cs="Arial" w:ascii="Arial" w:hAnsi="Arial"/>
          <w:color w:val="auto"/>
          <w:spacing w:val="0"/>
          <w:w w:val="100"/>
          <w:sz w:val="20"/>
          <w:szCs w:val="20"/>
          <w:lang w:val="ro-RO"/>
        </w:rPr>
        <w:t xml:space="preserve"> propunerea măsurilor de prevenire;</w:t>
      </w:r>
    </w:p>
    <w:p>
      <w:pPr>
        <w:pStyle w:val="Normal"/>
        <w:keepNext/>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w:t>
      </w:r>
      <w:r>
        <w:rPr>
          <w:rFonts w:eastAsia="Arial" w:cs="Arial" w:ascii="Arial" w:hAnsi="Arial"/>
          <w:color w:val="auto"/>
          <w:spacing w:val="0"/>
          <w:w w:val="100"/>
          <w:sz w:val="20"/>
          <w:szCs w:val="20"/>
          <w:lang w:val="ro-RO"/>
        </w:rPr>
        <w:t xml:space="preserve"> interpretarea rezultatelor evaluării, care constă în:</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 </w:t>
      </w:r>
      <w:r>
        <w:rPr>
          <w:rFonts w:eastAsia="Arial" w:cs="Arial" w:ascii="Arial" w:hAnsi="Arial"/>
          <w:color w:val="auto"/>
          <w:spacing w:val="0"/>
          <w:w w:val="100"/>
          <w:sz w:val="20"/>
          <w:szCs w:val="20"/>
          <w:lang w:val="ro-RO"/>
        </w:rPr>
        <w:t>completarea metodei prin efectuarea ierarhizării riscurilor evaluate;</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 </w:t>
      </w:r>
      <w:r>
        <w:rPr>
          <w:rFonts w:eastAsia="Arial" w:cs="Arial" w:ascii="Arial" w:hAnsi="Arial"/>
          <w:color w:val="auto"/>
          <w:spacing w:val="0"/>
          <w:w w:val="100"/>
          <w:sz w:val="20"/>
          <w:szCs w:val="20"/>
          <w:lang w:val="ro-RO"/>
        </w:rPr>
        <w:t xml:space="preserve">determinarea nivelului de risc parțial și nivelului de risc global pentru postul de lucru / loc de muncă evaluat;</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 </w:t>
      </w:r>
      <w:r>
        <w:rPr>
          <w:rFonts w:eastAsia="Arial" w:cs="Arial" w:ascii="Arial" w:hAnsi="Arial"/>
          <w:color w:val="auto"/>
          <w:spacing w:val="0"/>
          <w:w w:val="100"/>
          <w:sz w:val="20"/>
          <w:szCs w:val="20"/>
          <w:lang w:val="ro-RO"/>
        </w:rPr>
        <w:t>determinarea ponderii factorilor de risc identificați după elementele sistemului de muncă.</w:t>
      </w:r>
    </w:p>
    <w:p>
      <w:pPr>
        <w:pStyle w:val="Normal"/>
        <w:pageBreakBefor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1.</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LISTA DE IDENTIFICARE A FACTORILOR DE RISC</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color w:val="auto"/>
          <w:sz w:val="20"/>
          <w:szCs w:val="20"/>
          <w:lang w:val="ro-RO"/>
        </w:rPr>
        <w:t xml:space="preserve">A. EXECUTANT</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ACȚIUNI GREȘITE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Executare defectuoasă de operații: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comenzi;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manevre;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poziționări, fixări, asamblări;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reglaje;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utilizare greșită a mijloacelor de protecție etc.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Nesincronizări de operații: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întârzieri;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devansări.</w:t>
      </w:r>
    </w:p>
    <w:p>
      <w:pPr>
        <w:pStyle w:val="Normal"/>
        <w:keepNext/>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Efectuare de operații neprevăzute prin sarcina de muncă: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pornirea echipamentelor tehnice;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întreruperea funcționării echipamentelor tehnice;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alimentarea sau oprirea alimentării cu energie (curent electric, fluide energetice etc.);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deplasări, staționări în zone periculoase;</w:t>
      </w:r>
    </w:p>
    <w:p>
      <w:pPr>
        <w:pStyle w:val="Normal"/>
        <w:keepNext w:val="tru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deplasări cu pericol de cădere:</w:t>
      </w:r>
    </w:p>
    <w:p>
      <w:pPr>
        <w:pStyle w:val="Normal"/>
        <w:keepNext w:val="true"/>
        <w:pageBreakBefore w:val="false"/>
        <w:widowControl/>
        <w:numPr>
          <w:ilvl w:val="1"/>
          <w:numId w:val="36"/>
        </w:numPr>
        <w:spacing w:before="0" w:after="40"/>
        <w:ind w:hanging="360" w:left="1800"/>
        <w:jc w:val="left"/>
        <w:rPr>
          <w:rFonts w:ascii="Arial" w:hAnsi="Arial" w:cs="Arial"/>
          <w:sz w:val="20"/>
          <w:szCs w:val="20"/>
        </w:rPr>
      </w:pPr>
      <w:r>
        <w:rPr>
          <w:rFonts w:eastAsia="Arial" w:cs="Arial" w:ascii="Arial" w:hAnsi="Arial"/>
          <w:b w:val="false"/>
          <w:color w:val="auto"/>
          <w:sz w:val="20"/>
          <w:szCs w:val="20"/>
          <w:lang w:val="ro-RO"/>
        </w:rPr>
        <w:t xml:space="preserve">de la același nivel:</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dezechilibrare;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alunecare;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împiedicare;</w:t>
      </w:r>
    </w:p>
    <w:p>
      <w:pPr>
        <w:pStyle w:val="Normal"/>
        <w:keepNext w:val="true"/>
        <w:pageBreakBefore w:val="false"/>
        <w:widowControl/>
        <w:numPr>
          <w:ilvl w:val="1"/>
          <w:numId w:val="36"/>
        </w:numPr>
        <w:spacing w:before="0" w:after="40"/>
        <w:ind w:hanging="360" w:left="1800"/>
        <w:jc w:val="left"/>
        <w:rPr>
          <w:rFonts w:ascii="Arial" w:hAnsi="Arial" w:cs="Arial"/>
          <w:sz w:val="20"/>
          <w:szCs w:val="20"/>
        </w:rPr>
      </w:pPr>
      <w:r>
        <w:rPr>
          <w:rFonts w:eastAsia="Arial" w:cs="Arial" w:ascii="Arial" w:hAnsi="Arial"/>
          <w:b w:val="false"/>
          <w:color w:val="auto"/>
          <w:sz w:val="20"/>
          <w:szCs w:val="20"/>
          <w:lang w:val="ro-RO"/>
        </w:rPr>
        <w:t xml:space="preserve">de la înălțime: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pășire în gol;</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dezechilibrare;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alunecare.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1.4. Comunicări accidentogene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OMISIUNI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Omiterea unor operații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Neutilizarea mijloacelor de protecție</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color w:val="auto"/>
          <w:sz w:val="20"/>
          <w:szCs w:val="20"/>
          <w:lang w:val="ro-RO"/>
        </w:rPr>
        <w:t xml:space="preserve">B. SARCINA DE MUNCĂ</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CONȚINUT NECORESPUNZĂTOR AL SARCINII DE MUNCĂ ÎN RAPORT CU CERINȚELE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Operații, reguli, procedee greșite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Absența unor operații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Metode de muncă necorespunzătoare (succesiune greșită a operațiilor)</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SARCINA SUB/ SUPRADIMENSIONATĂ ÎN RAPORT CU CAPACITATEA EXECUTANTULUI</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Solicitare fizică: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efort static;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poziții de lucru forțate sau vicioase;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efort dinamic.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Solicitare psihică: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ritm de muncă mare;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decizii dificile în timp scurt;</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operații repetitive de ciclu scurt sau extrem de complex etc.;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monotonia muncii.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color w:val="auto"/>
          <w:sz w:val="20"/>
          <w:szCs w:val="20"/>
          <w:lang w:val="ro-RO"/>
        </w:rPr>
        <w:t xml:space="preserve">C. MIJLOACE DE PRODUCȚIE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FACTORI DE RISC MECANIC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Mișcări periculoase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 Mișcări funcționale ale echipamentelor tehnice: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organe de mașini în mișcare;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curgeri de fluide;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deplasări ale mijloacelor de transport etc.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1.1.2. Autodeclanșări sau autoblocări contraindicate ale mișcărilor funcționale ale echipamentelor tehnice sau ale fluidelor</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1.1.3. Deplasări sub efectul gravitației: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alunecare;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rostogolire;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rulare pe roți;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răsturnare;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cădere liberă;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scurgere liberă;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deversare;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surpare, prăbușire;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scufundare.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1.1.4. Deplasări sub efectul propulsiei: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proiectare de corpuri sau particule;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deviere de la traiectoria normală;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balans;</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recul;</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șocuri excesive;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jet, erupție.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Suprafețe sau contururi periculoase: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înțepătoare;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tăioase;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alunecoase;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abrazive;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adezive.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Recipiente sub presiune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1.4. Vibrații excesive ale echipamentelor tehnice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FACTORI DE RISC TERMIC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Temperatura ridicată a obiectelor sau suprafețelor</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Temperatura coborâtă a obiectelor sau suprafețelor</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2.3. Flăcări, flame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3. FACTORI DE RISC ELECTRIC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3.1. Curentul electric: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atingere directă;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atingere indirectă;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tensiune de pas.</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4. FACTORI DE RISC CHIMIC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4.1. Substanțe toxice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4.2. Substanțe caustice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4.3. Substanțe inflamabile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4.4. Substanțe explozive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4.5. Substanțe cancerigene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4.6. Substanțe radioactive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4.7. Substanțe mutagene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5. FACTORI DE RISC BIOLOGIC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5.1. Culturi sau preparate cu microorganisme: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bacterii;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virusuri;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richeți;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spirochete;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ciuperci;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protozoare.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5.2. Plante periculoase (exemplu: ciuperci otrăvitoare)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5.3. Animale periculoase (exemplu: șerpi veninoși)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color w:val="auto"/>
          <w:sz w:val="20"/>
          <w:szCs w:val="20"/>
          <w:lang w:val="ro-RO"/>
        </w:rPr>
        <w:t xml:space="preserve">D. MEDIUL DE MUNCĂ</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FACTORI DE RISC FIZIC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Temperatura aerului: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ridicată;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scăzută.</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Umiditatea aerului: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ridicată;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scăzută.</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Curenți de aer</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1.4. Presiunea aerului: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ridicată;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scăzută.</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1.5. Aeroionizarea aerului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1.6. Suprapresiune în adâncimea apelor</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1.7. Zgomot</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1.8. Ultrasunete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1.9. Vibrații</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1.10. Iluminat:</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nivel de iluminare scăzut;</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strălucire;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pâlpâire.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 Radiații</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1.11.1. Electromagnetice: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infraroșii;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ultraviolete;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microunde;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 frecvență înaltă;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 frecvență medie;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 frecvență joasă;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laser.</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1.11.2. Ionizante: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alfa;</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beta;</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gama.</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1.12. Potențial electrostatic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1.13. Calamități naturale (trăsnet, inundație, vânt, grindină, viscol, alunecări, surpări, prăbușiri de teren sau copaci, avalanșe, seisme etc.)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1.14. Pulberi pneumoconiogene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FACTORI DE RISC CHIMIC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Gaze, vapori, aerosoli toxici sau caustici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Pulberi în suspensie în aer, gaze sau vapori inflamabili sau explozivi</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3. FACTORI DE RISC BIOLOGIC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3.1. Microorganisme în suspensie în aer:</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bacterii;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virusuri;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richeți;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spirochete;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ciuperci;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protozoare etc.</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4. CARACTERUL SPECIAL AL MEDIULUI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subteran;</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acvatic;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subacvatic;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mlăștinos;</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aerian;</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cosmic etc.</w:t>
      </w:r>
    </w:p>
    <w:p>
      <w:pPr>
        <w:pStyle w:val="Normal"/>
        <w:widowControl/>
        <w:spacing w:before="0" w:after="0"/>
        <w:ind w:hanging="0"/>
        <w:jc w:val="left"/>
        <w:rPr>
          <w:rFonts w:ascii="Arial" w:hAnsi="Arial" w:cs="Arial"/>
          <w:b/>
          <w:sz w:val="2"/>
          <w:szCs w:val="18"/>
        </w:rPr>
        <w:sectPr>
          <w:headerReference w:type="even" r:id="rId14"/>
          <w:headerReference w:type="default" r:id="rId15"/>
          <w:headerReference w:type="first" r:id="rId16"/>
          <w:footerReference w:type="even" r:id="rId17"/>
          <w:footerReference w:type="default" r:id="rId18"/>
          <w:footerReference w:type="first" r:id="rId19"/>
          <w:footnotePr>
            <w:numFmt w:val="decimal"/>
          </w:footnotePr>
          <w:type w:val="nextPage"/>
          <w:pgSz w:w="11906" w:h="16838"/>
          <w:pgMar w:left="1417" w:right="1134" w:gutter="0" w:header="680" w:top="2445" w:footer="680" w:bottom="1134"/>
          <w:pgNumType w:fmt="decimal"/>
          <w:formProt w:val="false"/>
          <w:textDirection w:val="lrTb"/>
          <w:docGrid w:type="default" w:linePitch="360" w:charSpace="0"/>
        </w:sect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pacing w:val="28"/>
          <w:sz w:val="18"/>
          <w:szCs w:val="18"/>
        </w:rPr>
      </w:pPr>
      <w:r>
        <w:rPr>
          <w:rFonts w:eastAsia="Arial" w:cs="Arial" w:ascii="Arial" w:hAnsi="Arial"/>
          <w:b/>
          <w:color w:val="auto"/>
          <w:spacing w:val="0"/>
          <w:w w:val="100"/>
          <w:sz w:val="20"/>
          <w:szCs w:val="20"/>
          <w:lang w:val="ro-RO"/>
        </w:rPr>
        <w:t>Anexa Nr. 2.</w:t>
      </w:r>
    </w:p>
    <w:p>
      <w:pPr>
        <w:pStyle w:val="Normal"/>
        <w:widowControl/>
        <w:spacing w:before="0" w:after="120"/>
        <w:ind w:hanging="0"/>
        <w:jc w:val="left"/>
        <w:rPr>
          <w:rFonts w:ascii="Arial" w:hAnsi="Arial" w:cs="Arial"/>
          <w:b/>
          <w:spacing w:val="28"/>
          <w:sz w:val="18"/>
          <w:szCs w:val="18"/>
        </w:rPr>
      </w:pPr>
      <w:r>
        <w:rPr>
          <w:rFonts w:eastAsia="Arial" w:cs="Arial" w:ascii="Arial" w:hAnsi="Arial"/>
          <w:b/>
          <w:color w:val="auto"/>
          <w:spacing w:val="0"/>
          <w:w w:val="100"/>
          <w:sz w:val="20"/>
          <w:szCs w:val="20"/>
          <w:lang w:val="ro-RO"/>
        </w:rPr>
        <w:t xml:space="preserve">LISTA DE CONSECINȚE POSIBILE </w:t>
      </w:r>
      <w:r>
        <w:rPr>
          <w:rFonts w:eastAsia="Arial" w:cs="Arial" w:ascii="Arial" w:hAnsi="Arial"/>
          <w:b/>
          <w:color w:val="auto"/>
          <w:spacing w:val="0"/>
          <w:w w:val="100"/>
          <w:sz w:val="20"/>
          <w:szCs w:val="20"/>
          <w:lang w:val="ro-RO"/>
        </w:rPr>
        <w:t>ALE ACȚIUNII FACTORILOR DE RISC</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ASUPRA ORGANISMULUI UMAN</w:t>
      </w:r>
    </w:p>
    <w:p>
      <w:pPr>
        <w:pStyle w:val="Normal"/>
        <w:keepNext w:val="true"/>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123" w:type="dxa"/>
        <w:tblLayout w:type="fixed"/>
        <w:tblCellMar>
          <w:top w:w="17" w:type="dxa"/>
          <w:left w:w="108" w:type="dxa"/>
          <w:bottom w:w="17" w:type="dxa"/>
          <w:right w:w="108" w:type="dxa"/>
        </w:tblCellMar>
        <w:tblLook w:noHBand="0" w:noVBand="0" w:firstColumn="0" w:lastRow="0" w:lastColumn="0" w:firstRow="0" w:val="0000"/>
      </w:tblPr>
      <w:tblGrid>
        <w:gridCol w:w="605"/>
        <w:gridCol w:w="2836"/>
        <w:gridCol w:w="566"/>
        <w:gridCol w:w="564"/>
        <w:gridCol w:w="380"/>
        <w:gridCol w:w="574"/>
        <w:gridCol w:w="570"/>
        <w:gridCol w:w="569"/>
        <w:gridCol w:w="760"/>
        <w:gridCol w:w="569"/>
        <w:gridCol w:w="567"/>
        <w:gridCol w:w="570"/>
        <w:gridCol w:w="380"/>
        <w:gridCol w:w="380"/>
        <w:gridCol w:w="569"/>
        <w:gridCol w:w="449"/>
        <w:gridCol w:w="505"/>
        <w:gridCol w:w="593"/>
        <w:gridCol w:w="377"/>
        <w:gridCol w:w="380"/>
        <w:gridCol w:w="381"/>
        <w:gridCol w:w="380"/>
        <w:gridCol w:w="381"/>
        <w:gridCol w:w="382"/>
      </w:tblGrid>
      <w:tr>
        <w:trPr>
          <w:cantSplit/>
          <w:tblHeader w:val="true"/>
          <w:trHeight w:val="196" w:hRule="atLeast"/>
        </w:trPr>
        <w:tc>
          <w:tcPr>
            <w:tcW w:w="605" w:type="dxa"/>
            <w:vMerge w:val="restart"/>
            <w:tcBorders>
              <w:top w:val="single" w:sz="12"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Nr.</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crt.</w:t>
            </w:r>
          </w:p>
        </w:tc>
        <w:tc>
          <w:tcPr>
            <w:tcW w:w="2836" w:type="dxa"/>
            <w:vMerge w:val="restart"/>
            <w:tcBorders>
              <w:top w:val="single" w:sz="12"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CONSECINȚE</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POSIBILE</w:t>
            </w:r>
          </w:p>
        </w:tc>
        <w:tc>
          <w:tcPr>
            <w:tcW w:w="10846" w:type="dxa"/>
            <w:gridSpan w:val="22"/>
            <w:tcBorders>
              <w:top w:val="single" w:sz="12" w:space="0" w:color="000000"/>
              <w:left w:val="single" w:sz="6" w:space="0" w:color="000000"/>
              <w:right w:val="single" w:sz="12"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LOCALIZAREA CONSECINȚELOR</w:t>
            </w:r>
          </w:p>
        </w:tc>
      </w:tr>
      <w:tr>
        <w:trPr>
          <w:cantSplit/>
          <w:tblHeader w:val="true"/>
          <w:trHeight w:val="168" w:hRule="atLeas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6"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Cutie craniană</w:t>
            </w:r>
          </w:p>
        </w:tc>
        <w:tc>
          <w:tcPr>
            <w:tcW w:w="564"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Cutie toracică</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Abdomen</w:t>
            </w:r>
          </w:p>
        </w:tc>
        <w:tc>
          <w:tcPr>
            <w:tcW w:w="574"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Tegument</w:t>
            </w:r>
          </w:p>
        </w:tc>
        <w:tc>
          <w:tcPr>
            <w:tcW w:w="57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Aparat respirator</w:t>
            </w:r>
          </w:p>
        </w:tc>
        <w:tc>
          <w:tcPr>
            <w:tcW w:w="569"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Aparat cardiovascular</w:t>
            </w:r>
          </w:p>
        </w:tc>
        <w:tc>
          <w:tcPr>
            <w:tcW w:w="76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ind w:hanging="103"/>
              <w:jc w:val="center"/>
              <w:rPr>
                <w:rFonts w:ascii="Arial" w:hAnsi="Arial" w:cs="Arial"/>
                <w:b/>
                <w:sz w:val="18"/>
                <w:szCs w:val="18"/>
              </w:rPr>
            </w:pPr>
            <w:r>
              <w:rPr>
                <w:rFonts w:eastAsia="Arial" w:cs="Arial" w:ascii="Arial" w:hAnsi="Arial"/>
                <w:b/>
                <w:color w:val="auto"/>
                <w:spacing w:val="0"/>
                <w:w w:val="100"/>
                <w:sz w:val="16"/>
                <w:szCs w:val="16"/>
                <w:lang w:val="ro-RO"/>
              </w:rPr>
              <w:t>Aparat digestiv</w:t>
            </w:r>
          </w:p>
        </w:tc>
        <w:tc>
          <w:tcPr>
            <w:tcW w:w="569"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Aparat renal</w:t>
            </w:r>
          </w:p>
        </w:tc>
        <w:tc>
          <w:tcPr>
            <w:tcW w:w="3420" w:type="dxa"/>
            <w:gridSpan w:val="7"/>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Sistem osteoarticular</w:t>
            </w:r>
          </w:p>
        </w:tc>
        <w:tc>
          <w:tcPr>
            <w:tcW w:w="593"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ind w:hanging="25"/>
              <w:jc w:val="center"/>
              <w:rPr>
                <w:rFonts w:ascii="Arial" w:hAnsi="Arial" w:cs="Arial"/>
                <w:b/>
                <w:sz w:val="18"/>
                <w:szCs w:val="18"/>
              </w:rPr>
            </w:pPr>
            <w:r>
              <w:rPr>
                <w:rFonts w:eastAsia="Arial" w:cs="Arial" w:ascii="Arial" w:hAnsi="Arial"/>
                <w:b/>
                <w:color w:val="auto"/>
                <w:spacing w:val="0"/>
                <w:w w:val="100"/>
                <w:sz w:val="16"/>
                <w:szCs w:val="16"/>
                <w:lang w:val="ro-RO"/>
              </w:rPr>
              <w:t>Sistem</w:t>
            </w:r>
          </w:p>
          <w:p>
            <w:pPr>
              <w:pStyle w:val="Normal"/>
              <w:widowControl/>
              <w:spacing w:before="0" w:after="0"/>
              <w:ind w:hanging="25"/>
              <w:jc w:val="center"/>
              <w:rPr>
                <w:rFonts w:ascii="Arial" w:hAnsi="Arial" w:cs="Arial"/>
                <w:b/>
                <w:sz w:val="18"/>
                <w:szCs w:val="18"/>
              </w:rPr>
            </w:pPr>
            <w:r>
              <w:rPr>
                <w:rFonts w:eastAsia="Arial" w:cs="Arial" w:ascii="Arial" w:hAnsi="Arial"/>
                <w:b/>
                <w:color w:val="auto"/>
                <w:spacing w:val="0"/>
                <w:w w:val="100"/>
                <w:sz w:val="16"/>
                <w:szCs w:val="16"/>
                <w:lang w:val="ro-RO"/>
              </w:rPr>
              <w:t>muscular</w:t>
            </w:r>
          </w:p>
        </w:tc>
        <w:tc>
          <w:tcPr>
            <w:tcW w:w="1518" w:type="dxa"/>
            <w:gridSpan w:val="4"/>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Organe de simț</w:t>
            </w:r>
          </w:p>
        </w:tc>
        <w:tc>
          <w:tcPr>
            <w:tcW w:w="381"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Sistem nervos</w:t>
            </w:r>
          </w:p>
        </w:tc>
        <w:tc>
          <w:tcPr>
            <w:tcW w:w="382" w:type="dxa"/>
            <w:vMerge w:val="restart"/>
            <w:tcBorders>
              <w:top w:val="single" w:sz="6" w:space="0" w:color="000000"/>
              <w:left w:val="single" w:sz="6" w:space="0" w:color="000000"/>
              <w:bottom w:val="single" w:sz="6"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Multiplă</w:t>
            </w:r>
          </w:p>
        </w:tc>
      </w:tr>
      <w:tr>
        <w:trPr>
          <w:cantSplit/>
          <w:tblHeader w:val="true"/>
          <w:trHeight w:val="140" w:hRule="atLeas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7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70" w:type="dxa"/>
            <w:vMerge w:val="continue"/>
            <w:tcBorders>
              <w:left w:val="single" w:sz="6" w:space="0" w:color="000000"/>
              <w:right w:val="single" w:sz="6" w:space="0" w:color="000000"/>
            </w:tcBorders>
            <w:tcMar>
              <w:top w:w="0" w:type="dxa"/>
              <w:bottom w:w="0" w:type="dxa"/>
            </w:tcMar>
            <w:vAlign w:val="center"/>
          </w:tcPr>
          <w:p>
            <w:pPr>
              <w:pStyle w:val="Normal"/>
              <w:ind w:hanging="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76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7"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Coloana</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vertebrală</w:t>
            </w:r>
          </w:p>
        </w:tc>
        <w:tc>
          <w:tcPr>
            <w:tcW w:w="1899" w:type="dxa"/>
            <w:gridSpan w:val="4"/>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Membru superior</w:t>
            </w:r>
          </w:p>
        </w:tc>
        <w:tc>
          <w:tcPr>
            <w:tcW w:w="954" w:type="dxa"/>
            <w:gridSpan w:val="2"/>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6"/>
              </w:rPr>
            </w:pPr>
            <w:r>
              <w:rPr>
                <w:rFonts w:eastAsia="Arial" w:cs="Arial" w:ascii="Arial" w:hAnsi="Arial"/>
                <w:b/>
                <w:color w:val="auto"/>
                <w:spacing w:val="0"/>
                <w:w w:val="100"/>
                <w:sz w:val="16"/>
                <w:szCs w:val="16"/>
                <w:lang w:val="ro-RO"/>
              </w:rPr>
              <w:t>Membru inferior</w:t>
            </w:r>
          </w:p>
        </w:tc>
        <w:tc>
          <w:tcPr>
            <w:tcW w:w="593" w:type="dxa"/>
            <w:vMerge w:val="continue"/>
            <w:tcBorders>
              <w:left w:val="single" w:sz="6" w:space="0" w:color="000000"/>
              <w:right w:val="single" w:sz="6" w:space="0" w:color="000000"/>
            </w:tcBorders>
            <w:tcMar>
              <w:top w:w="0" w:type="dxa"/>
              <w:bottom w:w="0" w:type="dxa"/>
            </w:tcMar>
            <w:vAlign w:val="center"/>
          </w:tcPr>
          <w:p>
            <w:pPr>
              <w:pStyle w:val="Normal"/>
              <w:ind w:hanging="126"/>
              <w:jc w:val="center"/>
              <w:rPr>
                <w:rFonts w:ascii="Arial" w:hAnsi="Arial" w:cs="Arial"/>
                <w:b/>
                <w:sz w:val="20"/>
              </w:rPr>
            </w:pPr>
            <w:r>
              <w:rPr>
                <w:rFonts w:eastAsia="Arial" w:cs="Arial" w:ascii="Arial" w:hAnsi="Arial"/>
                <w:b/>
                <w:color w:val="auto"/>
                <w:spacing w:val="0"/>
                <w:w w:val="100"/>
                <w:sz w:val="20"/>
                <w:szCs w:val="20"/>
                <w:lang w:val="ro-RO"/>
              </w:rPr>
            </w:r>
          </w:p>
        </w:tc>
        <w:tc>
          <w:tcPr>
            <w:tcW w:w="377"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Ochi</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Nas</w:t>
            </w:r>
          </w:p>
        </w:tc>
        <w:tc>
          <w:tcPr>
            <w:tcW w:w="761" w:type="dxa"/>
            <w:gridSpan w:val="2"/>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Ureche</w:t>
            </w:r>
          </w:p>
        </w:tc>
        <w:tc>
          <w:tcPr>
            <w:tcW w:w="381"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2" w:type="dxa"/>
            <w:vMerge w:val="continue"/>
            <w:tcBorders>
              <w:left w:val="single" w:sz="6" w:space="0" w:color="000000"/>
              <w:right w:val="single" w:sz="12"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r>
      <w:tr>
        <w:trPr>
          <w:cantSplit/>
          <w:tblHeader w:val="true"/>
          <w:trHeight w:val="560" w:hRule="atLeas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7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70" w:type="dxa"/>
            <w:vMerge w:val="continue"/>
            <w:tcBorders>
              <w:left w:val="single" w:sz="6" w:space="0" w:color="000000"/>
              <w:right w:val="single" w:sz="6" w:space="0" w:color="000000"/>
            </w:tcBorders>
            <w:tcMar>
              <w:top w:w="0" w:type="dxa"/>
              <w:bottom w:w="0" w:type="dxa"/>
            </w:tcMar>
            <w:vAlign w:val="center"/>
          </w:tcPr>
          <w:p>
            <w:pPr>
              <w:pStyle w:val="Normal"/>
              <w:ind w:hanging="108"/>
              <w:jc w:val="center"/>
              <w:rPr>
                <w:rFonts w:ascii="Arial" w:hAnsi="Arial" w:cs="Arial"/>
                <w:b/>
                <w:sz w:val="20"/>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76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7"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rPr>
            </w:pPr>
            <w:r>
              <w:rPr>
                <w:rFonts w:eastAsia="Arial" w:cs="Arial" w:ascii="Arial" w:hAnsi="Arial"/>
                <w:b/>
                <w:color w:val="auto"/>
                <w:spacing w:val="0"/>
                <w:w w:val="100"/>
                <w:sz w:val="20"/>
                <w:szCs w:val="20"/>
                <w:lang w:val="ro-RO"/>
              </w:rPr>
            </w:r>
          </w:p>
        </w:tc>
        <w:tc>
          <w:tcPr>
            <w:tcW w:w="950" w:type="dxa"/>
            <w:gridSpan w:val="2"/>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Braț</w:t>
            </w:r>
          </w:p>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Antebraț</w:t>
            </w:r>
          </w:p>
        </w:tc>
        <w:tc>
          <w:tcPr>
            <w:tcW w:w="949" w:type="dxa"/>
            <w:gridSpan w:val="2"/>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Palmă</w:t>
            </w:r>
          </w:p>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Degete</w:t>
            </w:r>
          </w:p>
        </w:tc>
        <w:tc>
          <w:tcPr>
            <w:tcW w:w="449"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4"/>
              </w:rPr>
            </w:pPr>
            <w:r>
              <w:rPr>
                <w:rFonts w:eastAsia="Arial" w:cs="Arial" w:ascii="Arial" w:hAnsi="Arial"/>
                <w:b/>
                <w:color w:val="auto"/>
                <w:spacing w:val="0"/>
                <w:w w:val="100"/>
                <w:sz w:val="14"/>
                <w:szCs w:val="14"/>
                <w:lang w:val="ro-RO"/>
              </w:rPr>
              <w:t>Coapsă</w:t>
            </w:r>
          </w:p>
          <w:p>
            <w:pPr>
              <w:pStyle w:val="Normal"/>
              <w:widowControl/>
              <w:spacing w:before="0" w:after="0"/>
              <w:jc w:val="center"/>
              <w:rPr>
                <w:rFonts w:ascii="Arial" w:hAnsi="Arial" w:cs="Arial"/>
                <w:b/>
                <w:sz w:val="14"/>
              </w:rPr>
            </w:pPr>
            <w:r>
              <w:rPr>
                <w:rFonts w:eastAsia="Arial" w:cs="Arial" w:ascii="Arial" w:hAnsi="Arial"/>
                <w:b/>
                <w:color w:val="auto"/>
                <w:spacing w:val="0"/>
                <w:w w:val="100"/>
                <w:sz w:val="14"/>
                <w:szCs w:val="14"/>
                <w:lang w:val="ro-RO"/>
              </w:rPr>
              <w:t>Gambă</w:t>
            </w:r>
          </w:p>
        </w:tc>
        <w:tc>
          <w:tcPr>
            <w:tcW w:w="505"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rPr>
            </w:pPr>
            <w:r>
              <w:rPr>
                <w:rFonts w:eastAsia="Arial" w:cs="Arial" w:ascii="Arial" w:hAnsi="Arial"/>
                <w:b/>
                <w:color w:val="auto"/>
                <w:spacing w:val="0"/>
                <w:w w:val="100"/>
                <w:sz w:val="16"/>
                <w:szCs w:val="16"/>
                <w:lang w:val="ro-RO"/>
              </w:rPr>
              <w:t>Picior</w:t>
            </w:r>
          </w:p>
        </w:tc>
        <w:tc>
          <w:tcPr>
            <w:tcW w:w="593" w:type="dxa"/>
            <w:vMerge w:val="continue"/>
            <w:tcBorders>
              <w:left w:val="single" w:sz="6" w:space="0" w:color="000000"/>
              <w:right w:val="single" w:sz="6" w:space="0" w:color="000000"/>
            </w:tcBorders>
            <w:tcMar>
              <w:top w:w="0" w:type="dxa"/>
              <w:bottom w:w="0" w:type="dxa"/>
            </w:tcMar>
            <w:vAlign w:val="center"/>
          </w:tcPr>
          <w:p>
            <w:pPr>
              <w:pStyle w:val="Normal"/>
              <w:ind w:hanging="126"/>
              <w:jc w:val="center"/>
              <w:rPr>
                <w:rFonts w:ascii="Arial" w:hAnsi="Arial" w:cs="Arial"/>
                <w:b/>
                <w:sz w:val="20"/>
              </w:rPr>
            </w:pPr>
            <w:r>
              <w:rPr>
                <w:rFonts w:eastAsia="Arial" w:cs="Arial" w:ascii="Arial" w:hAnsi="Arial"/>
                <w:b/>
                <w:color w:val="auto"/>
                <w:spacing w:val="0"/>
                <w:w w:val="100"/>
                <w:sz w:val="20"/>
                <w:szCs w:val="20"/>
                <w:lang w:val="ro-RO"/>
              </w:rPr>
            </w:r>
          </w:p>
        </w:tc>
        <w:tc>
          <w:tcPr>
            <w:tcW w:w="377"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1"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Internă</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Externă</w:t>
            </w:r>
          </w:p>
        </w:tc>
        <w:tc>
          <w:tcPr>
            <w:tcW w:w="381"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2" w:type="dxa"/>
            <w:vMerge w:val="continue"/>
            <w:tcBorders>
              <w:left w:val="single" w:sz="6" w:space="0" w:color="000000"/>
              <w:right w:val="single" w:sz="12" w:space="0" w:color="000000"/>
            </w:tcBorders>
            <w:tcMar>
              <w:top w:w="0" w:type="dxa"/>
              <w:bottom w:w="0" w:type="dxa"/>
            </w:tcMar>
            <w:vAlign w:val="center"/>
          </w:tcPr>
          <w:p>
            <w:pPr>
              <w:pStyle w:val="Normal"/>
              <w:jc w:val="center"/>
              <w:rPr>
                <w:rFonts w:ascii="Arial" w:hAnsi="Arial" w:cs="Arial"/>
              </w:rPr>
            </w:pPr>
            <w:r>
              <w:rPr>
                <w:rFonts w:eastAsia="Arial" w:cs="Arial" w:ascii="Arial" w:hAnsi="Arial"/>
                <w:color w:val="auto"/>
                <w:spacing w:val="0"/>
                <w:w w:val="100"/>
                <w:sz w:val="20"/>
                <w:szCs w:val="20"/>
                <w:lang w:val="ro-RO"/>
              </w:rPr>
            </w:r>
          </w:p>
        </w:tc>
      </w:tr>
      <w:tr>
        <w:trPr>
          <w:cantSplit/>
          <w:tblHeader w:val="true"/>
          <w:trHeight w:val="62" w:hRule="atLeast"/>
        </w:trPr>
        <w:tc>
          <w:tcPr>
            <w:tcW w:w="605" w:type="dxa"/>
            <w:vMerge w:val="continue"/>
            <w:tcBorders>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4"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74"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7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76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7"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D</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S</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ind w:hanging="108"/>
              <w:jc w:val="center"/>
              <w:rPr>
                <w:rFonts w:ascii="Arial" w:hAnsi="Arial" w:cs="Arial"/>
                <w:b/>
                <w:sz w:val="16"/>
                <w:szCs w:val="16"/>
              </w:rPr>
            </w:pPr>
            <w:r>
              <w:rPr>
                <w:rFonts w:eastAsia="Arial" w:cs="Arial" w:ascii="Arial" w:hAnsi="Arial"/>
                <w:b/>
                <w:color w:val="auto"/>
                <w:spacing w:val="0"/>
                <w:w w:val="100"/>
                <w:sz w:val="16"/>
                <w:szCs w:val="16"/>
                <w:lang w:val="ro-RO"/>
              </w:rPr>
              <w:t>D</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S</w:t>
            </w:r>
          </w:p>
        </w:tc>
        <w:tc>
          <w:tcPr>
            <w:tcW w:w="44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05"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93"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77"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1"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1"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2" w:type="dxa"/>
            <w:vMerge w:val="continue"/>
            <w:tcBorders>
              <w:left w:val="single" w:sz="6" w:space="0" w:color="000000"/>
              <w:bottom w:val="single" w:sz="6" w:space="0" w:color="000000"/>
              <w:right w:val="single" w:sz="12"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r>
      <w:tr>
        <w:trPr>
          <w:cantSplit/>
          <w:tblHeader w:val="true"/>
          <w:trHeight w:val="257" w:hRule="atLeast"/>
        </w:trPr>
        <w:tc>
          <w:tcPr>
            <w:tcW w:w="605" w:type="dxa"/>
            <w:tcBorders>
              <w:top w:val="single" w:sz="6" w:space="0" w:color="000000"/>
              <w:left w:val="single" w:sz="12"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0</w:t>
            </w:r>
          </w:p>
        </w:tc>
        <w:tc>
          <w:tcPr>
            <w:tcW w:w="2836"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w:t>
            </w:r>
          </w:p>
        </w:tc>
        <w:tc>
          <w:tcPr>
            <w:tcW w:w="566"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w:t>
            </w:r>
          </w:p>
        </w:tc>
        <w:tc>
          <w:tcPr>
            <w:tcW w:w="564"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w:t>
            </w:r>
          </w:p>
        </w:tc>
        <w:tc>
          <w:tcPr>
            <w:tcW w:w="574"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w:t>
            </w:r>
          </w:p>
        </w:tc>
        <w:tc>
          <w:tcPr>
            <w:tcW w:w="57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w:t>
            </w:r>
          </w:p>
        </w:tc>
        <w:tc>
          <w:tcPr>
            <w:tcW w:w="76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8</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9</w:t>
            </w:r>
          </w:p>
        </w:tc>
        <w:tc>
          <w:tcPr>
            <w:tcW w:w="567"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10</w:t>
            </w:r>
          </w:p>
        </w:tc>
        <w:tc>
          <w:tcPr>
            <w:tcW w:w="57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99"/>
              <w:jc w:val="center"/>
              <w:rPr>
                <w:rFonts w:ascii="Arial" w:hAnsi="Arial" w:cs="Arial"/>
                <w:b/>
                <w:sz w:val="20"/>
              </w:rPr>
            </w:pPr>
            <w:r>
              <w:rPr>
                <w:rFonts w:eastAsia="Arial" w:cs="Arial" w:ascii="Arial" w:hAnsi="Arial"/>
                <w:b/>
                <w:color w:val="auto"/>
                <w:spacing w:val="0"/>
                <w:w w:val="100"/>
                <w:sz w:val="16"/>
                <w:szCs w:val="16"/>
                <w:lang w:val="ro-RO"/>
              </w:rPr>
              <w:t>11</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12</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13</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14</w:t>
            </w:r>
          </w:p>
        </w:tc>
        <w:tc>
          <w:tcPr>
            <w:tcW w:w="44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505"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86" w:right="-108"/>
              <w:jc w:val="center"/>
              <w:rPr>
                <w:rFonts w:ascii="Arial" w:hAnsi="Arial" w:cs="Arial"/>
                <w:b/>
                <w:sz w:val="20"/>
              </w:rPr>
            </w:pPr>
            <w:r>
              <w:rPr>
                <w:rFonts w:eastAsia="Arial" w:cs="Arial" w:ascii="Arial" w:hAnsi="Arial"/>
                <w:b/>
                <w:color w:val="auto"/>
                <w:spacing w:val="0"/>
                <w:w w:val="100"/>
                <w:sz w:val="16"/>
                <w:szCs w:val="16"/>
                <w:lang w:val="ro-RO"/>
              </w:rPr>
              <w:t>16</w:t>
            </w:r>
          </w:p>
        </w:tc>
        <w:tc>
          <w:tcPr>
            <w:tcW w:w="593"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17</w:t>
            </w:r>
          </w:p>
        </w:tc>
        <w:tc>
          <w:tcPr>
            <w:tcW w:w="377"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48" w:right="-194"/>
              <w:jc w:val="center"/>
              <w:rPr>
                <w:rFonts w:ascii="Arial" w:hAnsi="Arial" w:cs="Arial"/>
                <w:b/>
                <w:sz w:val="20"/>
              </w:rPr>
            </w:pPr>
            <w:r>
              <w:rPr>
                <w:rFonts w:eastAsia="Arial" w:cs="Arial" w:ascii="Arial" w:hAnsi="Arial"/>
                <w:b/>
                <w:color w:val="auto"/>
                <w:spacing w:val="0"/>
                <w:w w:val="100"/>
                <w:sz w:val="16"/>
                <w:szCs w:val="16"/>
                <w:lang w:val="ro-RO"/>
              </w:rPr>
              <w:t>18</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202" w:right="-139"/>
              <w:jc w:val="center"/>
              <w:rPr>
                <w:rFonts w:ascii="Arial" w:hAnsi="Arial" w:cs="Arial"/>
                <w:b/>
                <w:sz w:val="20"/>
              </w:rPr>
            </w:pPr>
            <w:r>
              <w:rPr>
                <w:rFonts w:eastAsia="Arial" w:cs="Arial" w:ascii="Arial" w:hAnsi="Arial"/>
                <w:b/>
                <w:color w:val="auto"/>
                <w:spacing w:val="0"/>
                <w:w w:val="100"/>
                <w:sz w:val="16"/>
                <w:szCs w:val="16"/>
                <w:lang w:val="ro-RO"/>
              </w:rPr>
              <w:t>19</w:t>
            </w:r>
          </w:p>
        </w:tc>
        <w:tc>
          <w:tcPr>
            <w:tcW w:w="381"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20</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32" w:right="-209"/>
              <w:jc w:val="center"/>
              <w:rPr>
                <w:rFonts w:ascii="Arial" w:hAnsi="Arial" w:cs="Arial"/>
                <w:b/>
                <w:sz w:val="20"/>
              </w:rPr>
            </w:pPr>
            <w:r>
              <w:rPr>
                <w:rFonts w:eastAsia="Arial" w:cs="Arial" w:ascii="Arial" w:hAnsi="Arial"/>
                <w:b/>
                <w:color w:val="auto"/>
                <w:spacing w:val="0"/>
                <w:w w:val="100"/>
                <w:sz w:val="16"/>
                <w:szCs w:val="16"/>
                <w:lang w:val="ro-RO"/>
              </w:rPr>
              <w:t>21</w:t>
            </w:r>
          </w:p>
        </w:tc>
        <w:tc>
          <w:tcPr>
            <w:tcW w:w="381"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87" w:right="-154"/>
              <w:jc w:val="center"/>
              <w:rPr>
                <w:rFonts w:ascii="Arial" w:hAnsi="Arial" w:cs="Arial"/>
                <w:b/>
                <w:sz w:val="20"/>
              </w:rPr>
            </w:pPr>
            <w:r>
              <w:rPr>
                <w:rFonts w:eastAsia="Arial" w:cs="Arial" w:ascii="Arial" w:hAnsi="Arial"/>
                <w:b/>
                <w:color w:val="auto"/>
                <w:spacing w:val="0"/>
                <w:w w:val="100"/>
                <w:sz w:val="16"/>
                <w:szCs w:val="16"/>
                <w:lang w:val="ro-RO"/>
              </w:rPr>
              <w:t>22</w:t>
            </w:r>
          </w:p>
        </w:tc>
        <w:tc>
          <w:tcPr>
            <w:tcW w:w="382" w:type="dxa"/>
            <w:tcBorders>
              <w:top w:val="single" w:sz="6" w:space="0" w:color="000000"/>
              <w:left w:val="single" w:sz="6" w:space="0" w:color="000000"/>
              <w:bottom w:val="single" w:sz="12" w:space="0" w:color="000000"/>
              <w:right w:val="single" w:sz="12" w:space="0" w:color="000000"/>
            </w:tcBorders>
            <w:shd w:color="auto" w:fill="F3F3F3" w:val="clear"/>
            <w:vAlign w:val="center"/>
          </w:tcPr>
          <w:p>
            <w:pPr>
              <w:pStyle w:val="Normal"/>
              <w:widowControl/>
              <w:spacing w:before="0" w:after="0"/>
              <w:ind w:left="-62" w:right="-98"/>
              <w:jc w:val="center"/>
              <w:rPr>
                <w:rFonts w:ascii="Arial" w:hAnsi="Arial" w:cs="Arial"/>
                <w:b/>
                <w:sz w:val="20"/>
              </w:rPr>
            </w:pPr>
            <w:r>
              <w:rPr>
                <w:rFonts w:eastAsia="Arial" w:cs="Arial" w:ascii="Arial" w:hAnsi="Arial"/>
                <w:b/>
                <w:color w:val="auto"/>
                <w:spacing w:val="0"/>
                <w:w w:val="100"/>
                <w:sz w:val="16"/>
                <w:szCs w:val="16"/>
                <w:lang w:val="ro-RO"/>
              </w:rPr>
              <w:t>23</w:t>
            </w:r>
          </w:p>
        </w:tc>
      </w:tr>
      <w:tr>
        <w:trPr>
          <w:cantSplit/>
          <w:trHeight w:val="143" w:hRule="atLeas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Plagă: - tăietură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Plagă: - înțepătură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Contuzie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Entorsă</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7"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Strivire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Fractură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173" w:hRule="atLeas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Arsură: - termică</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Arsură: - chimică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Amputație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8.</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 xml:space="preserve">Leziuni ale organelor interne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9.</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Electrocutare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10.</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Asfixie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Intoxicație: - acută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Intoxicație: - cronică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12.</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Dermatoză</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13.</w:t>
            </w:r>
          </w:p>
        </w:tc>
        <w:tc>
          <w:tcPr>
            <w:tcW w:w="2836" w:type="dxa"/>
            <w:tcBorders>
              <w:top w:val="single" w:sz="6" w:space="0" w:color="000000"/>
              <w:left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Pneumoconioză</w:t>
            </w:r>
          </w:p>
        </w:tc>
        <w:tc>
          <w:tcPr>
            <w:tcW w:w="566"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14.</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Îmbolnăviri respiratorii cronice provocate de substanțe toxice iritante (emfizem pulmonar, bronșită etc.)</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Astm bronșic, rinită vasomotorie</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46" w:hRule="atLeast"/>
        </w:trPr>
        <w:tc>
          <w:tcPr>
            <w:tcW w:w="605" w:type="dxa"/>
            <w:tcBorders>
              <w:top w:val="single" w:sz="4"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16.</w:t>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Boli prin expunere la temp. înalte sau scăzute (șoc, colaps caloric, degerături)</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17.</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Hipoacuzie, surditate de percepție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18.</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Cecitate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6"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19.</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Tumori maligne, cancer profesional</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20.</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Artroze cronice, periartrite, stiloidite, osteocondilite, bursite, epicondilite, discopatii</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Boala de vibrații</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22.</w:t>
            </w:r>
          </w:p>
        </w:tc>
        <w:tc>
          <w:tcPr>
            <w:tcW w:w="283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Tromboflebită</w:t>
            </w:r>
          </w:p>
        </w:tc>
        <w:tc>
          <w:tcPr>
            <w:tcW w:w="56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23.</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Laringite cronice, nodulii cântăreților</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24.</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Astenopatie acomodativă, agravarea miopiei existente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25.</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 xml:space="preserve">Cataractă</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26.</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 xml:space="preserve">Conjunctivite și keratoconjunctivite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27.</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Electrooftalmie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28.</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Boala de iradiere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29.</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Îmbolnăviri datorate compresiunilor și decompresiunilor</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30.</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Boli infecțioase și parazitare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Nevroze de coordonare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32.</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Sindrom cerebroastenic și tulburări de termoreglare (datorită undelor electromag. de înaltă frecv.)</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33.</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Afecțiuni psihice / Stres</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34.</w:t>
            </w:r>
          </w:p>
        </w:tc>
        <w:tc>
          <w:tcPr>
            <w:tcW w:w="283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Alte consecințe</w:t>
            </w:r>
          </w:p>
        </w:tc>
        <w:tc>
          <w:tcPr>
            <w:tcW w:w="56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76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449" w:type="dxa"/>
            <w:tcBorders>
              <w:top w:val="single" w:sz="4"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05" w:type="dxa"/>
            <w:tcBorders>
              <w:top w:val="single" w:sz="4"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93"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2" w:type="dxa"/>
            <w:tcBorders>
              <w:top w:val="single" w:sz="4"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r>
    </w:tbl>
    <w:p>
      <w:pPr>
        <w:pStyle w:val="Normal"/>
        <w:widowControl/>
        <w:spacing w:before="0" w:after="0"/>
        <w:ind w:hanging="0"/>
        <w:jc w:val="left"/>
        <w:rPr>
          <w:spacing w:val="28"/>
          <w:sz w:val="2"/>
          <w:szCs w:val="20"/>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sectPr>
          <w:headerReference w:type="even" r:id="rId20"/>
          <w:headerReference w:type="default" r:id="rId21"/>
          <w:headerReference w:type="first" r:id="rId22"/>
          <w:footerReference w:type="even" r:id="rId23"/>
          <w:footerReference w:type="default" r:id="rId24"/>
          <w:footerReference w:type="first" r:id="rId25"/>
          <w:footnotePr>
            <w:numFmt w:val="decimal"/>
          </w:footnotePr>
          <w:type w:val="nextPage"/>
          <w:pgSz w:orient="landscape" w:w="16838" w:h="11906"/>
          <w:pgMar w:left="1417" w:right="1134" w:gutter="0" w:header="680" w:top="2445" w:footer="680" w:bottom="1134"/>
          <w:pgNumType w:fmt="decimal"/>
          <w:formProt w:val="false"/>
          <w:textDirection w:val="lrTb"/>
          <w:docGrid w:type="default" w:linePitch="360" w:charSpace="0"/>
        </w:sect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3.</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SCALA DE COTARE A GRAVITĂȚII ȘI PROBABILITĂȚII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CONSECINȚELOR ACȚIUNII FACTORILOR DE RISC ASUPRA ORGANISMULUI UMAN</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tbl>
      <w:tblPr>
        <w:tblW w:w="5000" w:type="pct"/>
        <w:jc w:val="left"/>
        <w:tblInd w:w="230" w:type="dxa"/>
        <w:tblLayout w:type="fixed"/>
        <w:tblCellMar>
          <w:top w:w="17" w:type="dxa"/>
          <w:left w:w="108" w:type="dxa"/>
          <w:bottom w:w="17" w:type="dxa"/>
          <w:right w:w="108" w:type="dxa"/>
        </w:tblCellMar>
        <w:tblLook w:noHBand="0" w:noVBand="0" w:firstColumn="0" w:lastRow="0" w:lastColumn="0" w:firstRow="0" w:val="0000"/>
      </w:tblPr>
      <w:tblGrid>
        <w:gridCol w:w="359"/>
        <w:gridCol w:w="1979"/>
        <w:gridCol w:w="7017"/>
      </w:tblGrid>
      <w:tr>
        <w:trPr>
          <w:tblHeader w:val="true"/>
          <w:cantSplit/>
        </w:trPr>
        <w:tc>
          <w:tcPr>
            <w:tcW w:w="2338" w:type="dxa"/>
            <w:gridSpan w:val="2"/>
            <w:tcBorders>
              <w:top w:val="single" w:sz="12"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CLASE DE</w:t>
            </w:r>
          </w:p>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GRAVITATE</w:t>
            </w:r>
          </w:p>
        </w:tc>
        <w:tc>
          <w:tcPr>
            <w:tcW w:w="7017" w:type="dxa"/>
            <w:vMerge w:val="restart"/>
            <w:tcBorders>
              <w:top w:val="single" w:sz="12" w:space="0" w:color="000000"/>
              <w:left w:val="single" w:sz="6" w:space="0" w:color="000000"/>
              <w:bottom w:val="single" w:sz="12" w:space="0" w:color="000000"/>
              <w:right w:val="single" w:sz="12"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GRAVITATEA CONSECINȚELOR</w:t>
            </w:r>
          </w:p>
        </w:tc>
      </w:tr>
      <w:tr>
        <w:trPr>
          <w:cantSplit/>
        </w:trPr>
        <w:tc>
          <w:tcPr>
            <w:tcW w:w="2338" w:type="dxa"/>
            <w:gridSpan w:val="2"/>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CONSECINȚE</w:t>
            </w:r>
          </w:p>
        </w:tc>
        <w:tc>
          <w:tcPr>
            <w:tcW w:w="7017" w:type="dxa"/>
            <w:vMerge w:val="continue"/>
            <w:tcBorders>
              <w:top w:val="single" w:sz="6" w:space="0" w:color="000000"/>
              <w:left w:val="single" w:sz="6" w:space="0" w:color="000000"/>
              <w:bottom w:val="single" w:sz="12" w:space="0" w:color="000000"/>
              <w:right w:val="single" w:sz="12" w:space="0" w:color="000000"/>
            </w:tcBorders>
            <w:shd w:color="auto" w:fill="E0E0E0"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r>
      <w:tr>
        <w:trPr/>
        <w:tc>
          <w:tcPr>
            <w:tcW w:w="359" w:type="dxa"/>
            <w:tcBorders>
              <w:top w:val="single" w:sz="12"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1979" w:type="dxa"/>
            <w:tcBorders>
              <w:top w:val="single" w:sz="12"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NEGLIJABILE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minore reversibile cu incapacitate de muncă previzibilă până la 3 zile calendaristice (vindecare fără tratament)</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MICI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reversibile cu o incapacitate de muncă previzibilă de 3 – 45 zile care necesită tratament medical</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MEDII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 xml:space="preserve">consecințe reversibile cu o incapacitate de muncă previzibilă între 45 – 180 zile care necesită tratament medical și spitalizare</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MARI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o diminuare a capacității de muncă de minimum 50 %, individul putând să presteze o activitate profesională (invaliditate de gradul III)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GRAVE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pierdere de 100 % a capacității de muncă, dar cu posibilitate de autoservire, de autoconducere și de orientare spațială (invaliditate de gradul II)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GRAVE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pierderea totală a capacității de muncă, de autoservire, de autoconducție sau de orientare spațială (invaliditate de gradul 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7</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MAXIME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deces</w:t>
            </w:r>
          </w:p>
        </w:tc>
      </w:tr>
      <w:tr>
        <w:trPr>
          <w:cantSplit/>
        </w:trPr>
        <w:tc>
          <w:tcPr>
            <w:tcW w:w="2338" w:type="dxa"/>
            <w:gridSpan w:val="2"/>
            <w:tcBorders>
              <w:top w:val="single" w:sz="12"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CLASE DE</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PROBABILITATE</w:t>
            </w:r>
          </w:p>
        </w:tc>
        <w:tc>
          <w:tcPr>
            <w:tcW w:w="7017" w:type="dxa"/>
            <w:vMerge w:val="restart"/>
            <w:tcBorders>
              <w:top w:val="single" w:sz="12"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PROBABILITATEA CONSECINȚELOR</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(frecvența probabilă de producere a consecințelor)</w:t>
            </w:r>
          </w:p>
        </w:tc>
      </w:tr>
      <w:tr>
        <w:trPr>
          <w:cantSplit/>
        </w:trPr>
        <w:tc>
          <w:tcPr>
            <w:tcW w:w="2338" w:type="dxa"/>
            <w:gridSpan w:val="2"/>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EVENIMENTE</w:t>
            </w:r>
          </w:p>
        </w:tc>
        <w:tc>
          <w:tcPr>
            <w:tcW w:w="7017" w:type="dxa"/>
            <w:vMerge w:val="continue"/>
            <w:tcBorders>
              <w:top w:val="single" w:sz="6" w:space="0" w:color="000000"/>
              <w:left w:val="single" w:sz="6" w:space="0" w:color="000000"/>
              <w:bottom w:val="single" w:sz="12" w:space="0" w:color="000000"/>
              <w:right w:val="single" w:sz="12" w:space="0" w:color="000000"/>
            </w:tcBorders>
            <w:tcMar>
              <w:top w:w="0" w:type="dxa"/>
              <w:bottom w:w="0" w:type="dxa"/>
            </w:tcMar>
          </w:tcPr>
          <w:p>
            <w:pPr>
              <w:pStyle w:val="Normal"/>
              <w:spacing w:before="240" w:after="0"/>
              <w:jc w:val="center"/>
              <w:rPr>
                <w:rFonts w:ascii="Arial" w:hAnsi="Arial" w:cs="Arial"/>
                <w:b/>
                <w:sz w:val="18"/>
                <w:szCs w:val="18"/>
              </w:rPr>
            </w:pPr>
            <w:r>
              <w:rPr>
                <w:rFonts w:eastAsia="Arial" w:cs="Arial" w:ascii="Arial" w:hAnsi="Arial"/>
                <w:b/>
                <w:color w:val="auto"/>
                <w:spacing w:val="0"/>
                <w:w w:val="100"/>
                <w:sz w:val="20"/>
                <w:szCs w:val="20"/>
                <w:lang w:val="ro-RO"/>
              </w:rPr>
            </w:r>
          </w:p>
        </w:tc>
      </w:tr>
      <w:tr>
        <w:trPr/>
        <w:tc>
          <w:tcPr>
            <w:tcW w:w="359" w:type="dxa"/>
            <w:tcBorders>
              <w:top w:val="single" w:sz="12"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1979" w:type="dxa"/>
            <w:tcBorders>
              <w:top w:val="single" w:sz="12"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EXTREM DE 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extrem de mică: </w:t>
            </w:r>
            <w:r>
              <w:rPr>
                <w:rFonts w:eastAsia="Arial" w:cs="Arial" w:ascii="Arial" w:hAnsi="Arial"/>
                <w:b/>
                <w:color w:val="auto"/>
                <w:spacing w:val="0"/>
                <w:w w:val="100"/>
                <w:sz w:val="20"/>
                <w:szCs w:val="20"/>
                <w:lang w:val="ro-RO"/>
              </w:rPr>
              <w:t>P &gt; 10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mică:</w:t>
            </w:r>
            <w:r>
              <w:rPr>
                <w:rFonts w:eastAsia="Arial" w:cs="Arial" w:ascii="Arial" w:hAnsi="Arial"/>
                <w:b/>
                <w:color w:val="auto"/>
                <w:spacing w:val="0"/>
                <w:w w:val="100"/>
                <w:sz w:val="20"/>
                <w:szCs w:val="20"/>
                <w:lang w:val="ro-RO"/>
              </w:rPr>
              <w:t xml:space="preserve"> 5 ani ≤ P ≤ 10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mică:</w:t>
            </w:r>
            <w:r>
              <w:rPr>
                <w:rFonts w:eastAsia="Arial" w:cs="Arial" w:ascii="Arial" w:hAnsi="Arial"/>
                <w:b/>
                <w:color w:val="auto"/>
                <w:spacing w:val="0"/>
                <w:w w:val="100"/>
                <w:sz w:val="20"/>
                <w:szCs w:val="20"/>
                <w:lang w:val="ro-RO"/>
              </w:rPr>
              <w:t xml:space="preserve"> 2 ani ≤ P ≤ 5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PUȚIN FRECVENTE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medie:</w:t>
            </w:r>
            <w:r>
              <w:rPr>
                <w:rFonts w:eastAsia="Arial" w:cs="Arial" w:ascii="Arial" w:hAnsi="Arial"/>
                <w:b/>
                <w:color w:val="auto"/>
                <w:spacing w:val="0"/>
                <w:w w:val="100"/>
                <w:sz w:val="20"/>
                <w:szCs w:val="20"/>
                <w:lang w:val="ro-RO"/>
              </w:rPr>
              <w:t xml:space="preserve"> 1 an ≤ P ≤ 2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FRECVENTE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mare: </w:t>
            </w:r>
            <w:r>
              <w:rPr>
                <w:rFonts w:eastAsia="Arial" w:cs="Arial" w:ascii="Arial" w:hAnsi="Arial"/>
                <w:b/>
                <w:color w:val="auto"/>
                <w:spacing w:val="0"/>
                <w:w w:val="100"/>
                <w:sz w:val="20"/>
                <w:szCs w:val="20"/>
                <w:lang w:val="ro-RO"/>
              </w:rPr>
              <w:t>1 lună</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P ≤ 1 an</w:t>
            </w:r>
          </w:p>
        </w:tc>
      </w:tr>
      <w:tr>
        <w:trPr/>
        <w:tc>
          <w:tcPr>
            <w:tcW w:w="359" w:type="dxa"/>
            <w:tcBorders>
              <w:top w:val="single" w:sz="6" w:space="0" w:color="000000"/>
              <w:left w:val="single" w:sz="12"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1979" w:type="dxa"/>
            <w:tcBorders>
              <w:top w:val="single" w:sz="6"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FRECVENTE</w:t>
            </w:r>
          </w:p>
        </w:tc>
        <w:tc>
          <w:tcPr>
            <w:tcW w:w="7017" w:type="dxa"/>
            <w:tcBorders>
              <w:top w:val="single" w:sz="6"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foarte mare: </w:t>
            </w:r>
            <w:r>
              <w:rPr>
                <w:rFonts w:eastAsia="Arial" w:cs="Arial" w:ascii="Arial" w:hAnsi="Arial"/>
                <w:b/>
                <w:color w:val="auto"/>
                <w:spacing w:val="0"/>
                <w:w w:val="100"/>
                <w:sz w:val="20"/>
                <w:szCs w:val="20"/>
                <w:lang w:val="ro-RO"/>
              </w:rPr>
              <w:t>P ≤ 1 lună</w:t>
            </w:r>
          </w:p>
        </w:tc>
      </w:tr>
    </w:tbl>
    <w:p>
      <w:pPr>
        <w:pStyle w:val="Normal"/>
        <w:pageBreakBefor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4.</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GRILA DE EVALUARE A RISCURILOR (COMBINAȚIE ÎNTRE GRAVITATEA CONSECINȚELOR ȘI PROBABILITATEA PRODUCERII LOR)</w:t>
      </w:r>
    </w:p>
    <w:p>
      <w:pPr>
        <w:pStyle w:val="Normal"/>
        <w:widowControl/>
        <w:spacing w:before="0" w:after="0"/>
        <w:ind w:hanging="0"/>
        <w:jc w:val="left"/>
        <w:rPr>
          <w:rFonts w:ascii="Arial" w:hAnsi="Arial" w:cs="Arial"/>
          <w:b/>
          <w:spacing w:val="28"/>
          <w:sz w:val="2"/>
          <w:szCs w:val="18"/>
        </w:rPr>
      </w:pPr>
      <w:r>
        <w:rPr>
          <w:rFonts w:eastAsia="Arial" w:cs="Arial" w:ascii="Arial" w:hAnsi="Arial"/>
          <w:b/>
          <w:color w:val="auto"/>
          <w:spacing w:val="0"/>
          <w:w w:val="100"/>
          <w:sz w:val="2"/>
          <w:szCs w:val="20"/>
          <w:lang w:val="ro-RO"/>
        </w:rPr>
      </w:r>
    </w:p>
    <w:p>
      <w:pPr>
        <w:pStyle w:val="Normal"/>
        <w:keepNext w:val="true"/>
        <w:widowControl/>
        <w:spacing w:before="0" w:after="0"/>
        <w:ind w:hanging="0"/>
        <w:jc w:val="left"/>
        <w:rPr>
          <w:rFonts w:ascii="Arial" w:hAnsi="Arial" w:cs="Arial"/>
          <w:b/>
          <w:spacing w:val="28"/>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180"/>
        <w:gridCol w:w="1094"/>
        <w:gridCol w:w="1539"/>
        <w:gridCol w:w="257"/>
        <w:gridCol w:w="876"/>
        <w:gridCol w:w="872"/>
        <w:gridCol w:w="877"/>
        <w:gridCol w:w="871"/>
        <w:gridCol w:w="896"/>
        <w:gridCol w:w="893"/>
      </w:tblGrid>
      <w:tr>
        <w:trPr>
          <w:tblHeader w:val="true"/>
          <w:trHeight w:val="228" w:hRule="atLeast"/>
          <w:cantSplit/>
        </w:trPr>
        <w:tc>
          <w:tcPr>
            <w:tcW w:w="1180" w:type="dxa"/>
            <w:tcBorders/>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285" w:type="dxa"/>
            <w:gridSpan w:val="6"/>
            <w:tcBorders>
              <w:top w:val="single" w:sz="12" w:space="0" w:color="000000"/>
              <w:left w:val="single" w:sz="12" w:space="0" w:color="000000"/>
              <w:right w:val="single" w:sz="12" w:space="0" w:color="000000"/>
            </w:tcBorders>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CLASE DE PROBABILITATE</w:t>
            </w:r>
          </w:p>
        </w:tc>
      </w:tr>
      <w:tr>
        <w:trPr>
          <w:trHeight w:val="228" w:hRule="exact"/>
          <w:cantSplit/>
        </w:trPr>
        <w:tc>
          <w:tcPr>
            <w:tcW w:w="1180" w:type="dxa"/>
            <w:tcBorders/>
          </w:tcPr>
          <w:p>
            <w:pPr>
              <w:pStyle w:val="Normal"/>
              <w:keepNext w:val="true"/>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876"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r>
          </w:p>
        </w:tc>
        <w:tc>
          <w:tcPr>
            <w:tcW w:w="872" w:type="dxa"/>
            <w:tcBorders>
              <w:top w:val="single" w:sz="12" w:space="0" w:color="000000"/>
              <w:bottom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77"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71" w:type="dxa"/>
            <w:tcBorders>
              <w:top w:val="single" w:sz="12" w:space="0" w:color="000000"/>
              <w:bottom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96"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93" w:type="dxa"/>
            <w:tcBorders>
              <w:top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r>
      <w:tr>
        <w:trPr>
          <w:trHeight w:val="1900" w:hRule="atLeast"/>
          <w:cantSplit/>
        </w:trPr>
        <w:tc>
          <w:tcPr>
            <w:tcW w:w="1180" w:type="dxa"/>
            <w:tcBorders/>
          </w:tcPr>
          <w:p>
            <w:pPr>
              <w:pStyle w:val="Normal"/>
              <w:keepNext w:val="true"/>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bottom w:val="single" w:sz="12" w:space="0" w:color="000000"/>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87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EXTREM DE RAR</w:t>
            </w:r>
          </w:p>
        </w:tc>
        <w:tc>
          <w:tcPr>
            <w:tcW w:w="872" w:type="dxa"/>
            <w:tcBorders>
              <w:top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FOARTE RAR</w:t>
            </w:r>
          </w:p>
        </w:tc>
        <w:tc>
          <w:tcPr>
            <w:tcW w:w="877"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RAR</w:t>
            </w:r>
          </w:p>
        </w:tc>
        <w:tc>
          <w:tcPr>
            <w:tcW w:w="871" w:type="dxa"/>
            <w:tcBorders>
              <w:top w:val="single" w:sz="12" w:space="0" w:color="000000"/>
            </w:tcBorders>
            <w:textDirection w:val="btLr"/>
            <w:vAlign w:val="center"/>
          </w:tcPr>
          <w:p>
            <w:pPr>
              <w:pStyle w:val="Normal"/>
              <w:widowControl/>
              <w:spacing w:before="0" w:after="0"/>
              <w:ind w:hanging="90" w:right="-108"/>
              <w:jc w:val="center"/>
              <w:rPr>
                <w:rFonts w:ascii="Arial" w:hAnsi="Arial" w:cs="Arial"/>
                <w:b/>
                <w:sz w:val="18"/>
                <w:szCs w:val="18"/>
              </w:rPr>
            </w:pPr>
            <w:r>
              <w:rPr>
                <w:rFonts w:eastAsia="Arial" w:cs="Arial" w:ascii="Arial" w:hAnsi="Arial"/>
                <w:b/>
                <w:color w:val="auto"/>
                <w:spacing w:val="0"/>
                <w:w w:val="100"/>
                <w:sz w:val="16"/>
                <w:szCs w:val="16"/>
                <w:lang w:val="ro-RO"/>
              </w:rPr>
              <w:t>PUȚIN FRECVENT</w:t>
            </w:r>
          </w:p>
        </w:tc>
        <w:tc>
          <w:tcPr>
            <w:tcW w:w="89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FRECVENT</w:t>
            </w:r>
          </w:p>
        </w:tc>
        <w:tc>
          <w:tcPr>
            <w:tcW w:w="893" w:type="dxa"/>
            <w:tcBorders>
              <w:top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FOARTE FRECVENT</w:t>
            </w:r>
          </w:p>
        </w:tc>
      </w:tr>
      <w:tr>
        <w:trPr>
          <w:trHeight w:val="1655" w:hRule="atLeast"/>
          <w:cantSplit/>
        </w:trPr>
        <w:tc>
          <w:tcPr>
            <w:tcW w:w="1180" w:type="dxa"/>
            <w:tcBorders>
              <w:top w:val="single" w:sz="12" w:space="0" w:color="000000"/>
              <w:left w:val="single" w:sz="12" w:space="0" w:color="000000"/>
            </w:tcBorders>
            <w:textDirection w:val="btLr"/>
            <w:vAlign w:val="center"/>
          </w:tcPr>
          <w:p>
            <w:pPr>
              <w:pStyle w:val="Normal"/>
              <w:keepNext w:val="true"/>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CLASE DE GRAVITATE</w:t>
            </w:r>
          </w:p>
        </w:tc>
        <w:tc>
          <w:tcPr>
            <w:tcW w:w="2890" w:type="dxa"/>
            <w:gridSpan w:val="3"/>
            <w:tcBorders>
              <w:top w:val="single" w:sz="12" w:space="0" w:color="000000"/>
              <w:lef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CONSECINȚE</w:t>
            </w:r>
          </w:p>
        </w:tc>
        <w:tc>
          <w:tcPr>
            <w:tcW w:w="87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P &gt; 10 ani</w:t>
            </w:r>
          </w:p>
        </w:tc>
        <w:tc>
          <w:tcPr>
            <w:tcW w:w="872" w:type="dxa"/>
            <w:tcBorders>
              <w:top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 ani ≤ P ≤ 10 ani</w:t>
            </w:r>
          </w:p>
        </w:tc>
        <w:tc>
          <w:tcPr>
            <w:tcW w:w="877"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 ani ≤ P ≤ 5 ani</w:t>
            </w:r>
          </w:p>
        </w:tc>
        <w:tc>
          <w:tcPr>
            <w:tcW w:w="871" w:type="dxa"/>
            <w:tcBorders>
              <w:top w:val="single" w:sz="12" w:space="0" w:color="000000"/>
            </w:tcBorders>
            <w:textDirection w:val="btLr"/>
            <w:vAlign w:val="center"/>
          </w:tcPr>
          <w:p>
            <w:pPr>
              <w:pStyle w:val="Normal"/>
              <w:widowControl/>
              <w:spacing w:before="0" w:after="0"/>
              <w:ind w:hanging="93" w:right="-70"/>
              <w:jc w:val="center"/>
              <w:rPr>
                <w:rFonts w:ascii="Arial" w:hAnsi="Arial" w:cs="Arial"/>
                <w:b/>
                <w:sz w:val="18"/>
                <w:szCs w:val="18"/>
              </w:rPr>
            </w:pPr>
            <w:r>
              <w:rPr>
                <w:rFonts w:eastAsia="Arial" w:cs="Arial" w:ascii="Arial" w:hAnsi="Arial"/>
                <w:b/>
                <w:color w:val="auto"/>
                <w:spacing w:val="0"/>
                <w:w w:val="100"/>
                <w:sz w:val="16"/>
                <w:szCs w:val="16"/>
                <w:lang w:val="ro-RO"/>
              </w:rPr>
              <w:t>1 an ≤ P ≤ 2 ani</w:t>
            </w:r>
          </w:p>
        </w:tc>
        <w:tc>
          <w:tcPr>
            <w:tcW w:w="89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hanging="146" w:right="-107"/>
              <w:jc w:val="center"/>
              <w:rPr>
                <w:rFonts w:ascii="Arial" w:hAnsi="Arial" w:cs="Arial"/>
                <w:b/>
                <w:sz w:val="18"/>
                <w:szCs w:val="18"/>
              </w:rPr>
            </w:pPr>
            <w:r>
              <w:rPr>
                <w:rFonts w:eastAsia="Arial" w:cs="Arial" w:ascii="Arial" w:hAnsi="Arial"/>
                <w:b/>
                <w:color w:val="auto"/>
                <w:spacing w:val="0"/>
                <w:w w:val="100"/>
                <w:sz w:val="16"/>
                <w:szCs w:val="16"/>
                <w:lang w:val="ro-RO"/>
              </w:rPr>
              <w:t>1 lună</w:t>
            </w:r>
            <w:r>
              <w:rPr>
                <w:rFonts w:eastAsia="Arial" w:cs="Arial" w:ascii="Arial" w:hAnsi="Arial"/>
                <w:color w:val="auto"/>
                <w:spacing w:val="0"/>
                <w:w w:val="100"/>
                <w:sz w:val="16"/>
                <w:szCs w:val="16"/>
                <w:lang w:val="ro-RO"/>
              </w:rPr>
              <w:t xml:space="preserve"> </w:t>
            </w:r>
            <w:r>
              <w:rPr>
                <w:rFonts w:eastAsia="Arial" w:cs="Arial" w:ascii="Arial" w:hAnsi="Arial"/>
                <w:b/>
                <w:color w:val="auto"/>
                <w:spacing w:val="0"/>
                <w:w w:val="100"/>
                <w:sz w:val="16"/>
                <w:szCs w:val="16"/>
                <w:lang w:val="ro-RO"/>
              </w:rPr>
              <w:t>≤ P ≤ 1 an</w:t>
            </w:r>
          </w:p>
        </w:tc>
        <w:tc>
          <w:tcPr>
            <w:tcW w:w="893" w:type="dxa"/>
            <w:tcBorders>
              <w:top w:val="single" w:sz="12" w:space="0" w:color="000000"/>
              <w:right w:val="single" w:sz="12" w:space="0" w:color="000000"/>
            </w:tcBorders>
            <w:textDirection w:val="btLr"/>
            <w:vAlign w:val="center"/>
          </w:tcPr>
          <w:p>
            <w:pPr>
              <w:pStyle w:val="Normal"/>
              <w:widowControl/>
              <w:spacing w:before="0" w:after="0"/>
              <w:ind w:hanging="90" w:right="-144"/>
              <w:jc w:val="center"/>
              <w:rPr>
                <w:rFonts w:ascii="Arial" w:hAnsi="Arial" w:cs="Arial"/>
                <w:b/>
                <w:sz w:val="18"/>
                <w:szCs w:val="18"/>
              </w:rPr>
            </w:pPr>
            <w:r>
              <w:rPr>
                <w:rFonts w:eastAsia="Arial" w:cs="Arial" w:ascii="Arial" w:hAnsi="Arial"/>
                <w:b/>
                <w:color w:val="auto"/>
                <w:spacing w:val="0"/>
                <w:w w:val="100"/>
                <w:sz w:val="16"/>
                <w:szCs w:val="16"/>
                <w:lang w:val="ro-RO"/>
              </w:rPr>
              <w:t>P ≤ 1 lună</w:t>
            </w:r>
          </w:p>
        </w:tc>
      </w:tr>
      <w:tr>
        <w:trPr>
          <w:trHeight w:val="690" w:hRule="atLeast"/>
          <w:cantSplit/>
        </w:trPr>
        <w:tc>
          <w:tcPr>
            <w:tcW w:w="1180" w:type="dxa"/>
            <w:tcBorders>
              <w:top w:val="single" w:sz="12"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1094" w:type="dxa"/>
            <w:tcBorders>
              <w:top w:val="single" w:sz="12" w:space="0" w:color="000000"/>
              <w:bottom w:val="single" w:sz="6" w:space="0" w:color="000000"/>
            </w:tcBorders>
            <w:vAlign w:val="center"/>
          </w:tcPr>
          <w:p>
            <w:pPr>
              <w:pStyle w:val="Normal"/>
              <w:widowControl/>
              <w:spacing w:before="0" w:after="0"/>
              <w:ind w:right="-108"/>
              <w:jc w:val="center"/>
              <w:rPr>
                <w:rFonts w:ascii="Arial" w:hAnsi="Arial" w:cs="Arial"/>
                <w:b/>
                <w:sz w:val="18"/>
                <w:szCs w:val="18"/>
              </w:rPr>
            </w:pPr>
            <w:r>
              <w:rPr>
                <w:rFonts w:eastAsia="Arial" w:cs="Arial" w:ascii="Arial" w:hAnsi="Arial"/>
                <w:b/>
                <w:color w:val="auto"/>
                <w:spacing w:val="0"/>
                <w:w w:val="100"/>
                <w:sz w:val="16"/>
                <w:szCs w:val="16"/>
                <w:lang w:val="ro-RO"/>
              </w:rPr>
              <w:t>MAXIME</w:t>
            </w:r>
          </w:p>
        </w:tc>
        <w:tc>
          <w:tcPr>
            <w:tcW w:w="1796" w:type="dxa"/>
            <w:gridSpan w:val="2"/>
            <w:tcBorders>
              <w:top w:val="single" w:sz="12"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876" w:type="dxa"/>
            <w:tcBorders>
              <w:top w:val="single" w:sz="12" w:space="0" w:color="000000"/>
              <w:left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(7,1)</w:t>
            </w:r>
          </w:p>
        </w:tc>
        <w:tc>
          <w:tcPr>
            <w:tcW w:w="872" w:type="dxa"/>
            <w:tcBorders>
              <w:top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(7,2)</w:t>
            </w:r>
          </w:p>
        </w:tc>
        <w:tc>
          <w:tcPr>
            <w:tcW w:w="877" w:type="dxa"/>
            <w:tcBorders>
              <w:top w:val="single" w:sz="12" w:space="0" w:color="000000"/>
              <w:left w:val="single" w:sz="12" w:space="0" w:color="000000"/>
              <w:bottom w:val="single" w:sz="6"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(7,3)</w:t>
            </w:r>
          </w:p>
        </w:tc>
        <w:tc>
          <w:tcPr>
            <w:tcW w:w="871" w:type="dxa"/>
            <w:tcBorders>
              <w:top w:val="single" w:sz="12" w:space="0" w:color="000000"/>
              <w:bottom w:val="single" w:sz="6"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(7,4)</w:t>
            </w:r>
          </w:p>
        </w:tc>
        <w:tc>
          <w:tcPr>
            <w:tcW w:w="896" w:type="dxa"/>
            <w:tcBorders>
              <w:top w:val="single" w:sz="12" w:space="0" w:color="000000"/>
              <w:left w:val="single" w:sz="12" w:space="0" w:color="000000"/>
              <w:bottom w:val="single" w:sz="6" w:space="0" w:color="000000"/>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(7,5)</w:t>
            </w:r>
          </w:p>
        </w:tc>
        <w:tc>
          <w:tcPr>
            <w:tcW w:w="893" w:type="dxa"/>
            <w:tcBorders>
              <w:top w:val="single" w:sz="12" w:space="0" w:color="000000"/>
              <w:bottom w:val="single" w:sz="6" w:space="0" w:color="000000"/>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(7,6)</w:t>
            </w:r>
          </w:p>
        </w:tc>
      </w:tr>
      <w:tr>
        <w:trPr>
          <w:trHeight w:val="705"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FOARTE GRAVE</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w:t>
            </w:r>
          </w:p>
        </w:tc>
        <w:tc>
          <w:tcPr>
            <w:tcW w:w="876" w:type="dxa"/>
            <w:tcBorders>
              <w:top w:val="single" w:sz="6" w:space="0" w:color="000000"/>
              <w:left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(6,1)</w:t>
            </w:r>
          </w:p>
        </w:tc>
        <w:tc>
          <w:tcPr>
            <w:tcW w:w="872" w:type="dxa"/>
            <w:tcBorders>
              <w:top w:val="single" w:sz="6" w:space="0" w:color="000000"/>
              <w:bottom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(6,2)</w:t>
            </w:r>
          </w:p>
        </w:tc>
        <w:tc>
          <w:tcPr>
            <w:tcW w:w="877" w:type="dxa"/>
            <w:tcBorders>
              <w:left w:val="single" w:sz="12"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(6,3)</w:t>
            </w:r>
          </w:p>
        </w:tc>
        <w:tc>
          <w:tcPr>
            <w:tcW w:w="871" w:type="dxa"/>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(6,4)</w:t>
            </w:r>
          </w:p>
        </w:tc>
        <w:tc>
          <w:tcPr>
            <w:tcW w:w="896" w:type="dxa"/>
            <w:tcBorders>
              <w:left w:val="single" w:sz="12" w:space="0" w:color="000000"/>
              <w:right w:val="single" w:sz="12"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(6,5)</w:t>
            </w:r>
          </w:p>
        </w:tc>
        <w:tc>
          <w:tcPr>
            <w:tcW w:w="893" w:type="dxa"/>
            <w:tcBorders>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1094" w:type="dxa"/>
            <w:tcBorders>
              <w:top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GRAVE</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II</w:t>
            </w:r>
          </w:p>
        </w:tc>
        <w:tc>
          <w:tcPr>
            <w:tcW w:w="876" w:type="dxa"/>
            <w:tcBorders>
              <w:top w:val="single" w:sz="6" w:space="0" w:color="000000"/>
              <w:left w:val="single" w:sz="12" w:space="0" w:color="000000"/>
              <w:bottom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(5,1)</w:t>
            </w:r>
          </w:p>
        </w:tc>
        <w:tc>
          <w:tcPr>
            <w:tcW w:w="872" w:type="dxa"/>
            <w:tcBorders>
              <w:bottom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(5,2)</w:t>
            </w:r>
          </w:p>
        </w:tc>
        <w:tc>
          <w:tcPr>
            <w:tcW w:w="877" w:type="dxa"/>
            <w:tcBorders>
              <w:top w:val="single" w:sz="12" w:space="0" w:color="000000"/>
              <w:left w:val="single" w:sz="6" w:space="0" w:color="000000"/>
              <w:bottom w:val="single" w:sz="6" w:space="0" w:color="000000"/>
              <w:righ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(5,3)</w:t>
            </w:r>
          </w:p>
        </w:tc>
        <w:tc>
          <w:tcPr>
            <w:tcW w:w="871" w:type="dxa"/>
            <w:tcBorders>
              <w:top w:val="single" w:sz="12" w:space="0" w:color="000000"/>
              <w:bottom w:val="single" w:sz="12" w:space="0" w:color="000000"/>
              <w:right w:val="single" w:sz="6"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(5,4)</w:t>
            </w:r>
          </w:p>
        </w:tc>
        <w:tc>
          <w:tcPr>
            <w:tcW w:w="896" w:type="dxa"/>
            <w:tcBorders>
              <w:top w:val="single" w:sz="12" w:space="0" w:color="000000"/>
              <w:bottom w:val="single" w:sz="6"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(5,5)</w:t>
            </w:r>
          </w:p>
        </w:tc>
        <w:tc>
          <w:tcPr>
            <w:tcW w:w="893" w:type="dxa"/>
            <w:tcBorders>
              <w:top w:val="single" w:sz="6" w:space="0" w:color="000000"/>
              <w:right w:val="single" w:sz="12"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MARI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III</w:t>
            </w:r>
          </w:p>
        </w:tc>
        <w:tc>
          <w:tcPr>
            <w:tcW w:w="876" w:type="dxa"/>
            <w:tcBorders>
              <w:left w:val="single" w:sz="12" w:space="0" w:color="000000"/>
              <w:right w:val="single" w:sz="12"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(4,1)</w:t>
            </w:r>
          </w:p>
        </w:tc>
        <w:tc>
          <w:tcPr>
            <w:tcW w:w="872" w:type="dxa"/>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(4,2)</w:t>
            </w:r>
          </w:p>
        </w:tc>
        <w:tc>
          <w:tcPr>
            <w:tcW w:w="877" w:type="dxa"/>
            <w:tcBorders>
              <w:lef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(4,3)</w:t>
            </w:r>
          </w:p>
        </w:tc>
        <w:tc>
          <w:tcPr>
            <w:tcW w:w="871" w:type="dxa"/>
            <w:tcBorders>
              <w:left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(4,4)</w:t>
            </w:r>
          </w:p>
        </w:tc>
        <w:tc>
          <w:tcPr>
            <w:tcW w:w="896" w:type="dxa"/>
            <w:tcBorders>
              <w:left w:val="single" w:sz="12" w:space="0" w:color="000000"/>
              <w:right w:val="single" w:sz="6"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(4,5)</w:t>
            </w:r>
          </w:p>
        </w:tc>
        <w:tc>
          <w:tcPr>
            <w:tcW w:w="893" w:type="dxa"/>
            <w:tcBorders>
              <w:top w:val="single" w:sz="12" w:space="0" w:color="000000"/>
              <w:bottom w:val="single" w:sz="12"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1094" w:type="dxa"/>
            <w:tcBorders>
              <w:top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MEDII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 45 – 180 ZILE</w:t>
            </w:r>
          </w:p>
        </w:tc>
        <w:tc>
          <w:tcPr>
            <w:tcW w:w="876" w:type="dxa"/>
            <w:tcBorders>
              <w:top w:val="single" w:sz="6" w:space="0" w:color="000000"/>
              <w:left w:val="single" w:sz="12" w:space="0" w:color="000000"/>
              <w:bottom w:val="single" w:sz="12"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(3,1)</w:t>
            </w:r>
          </w:p>
        </w:tc>
        <w:tc>
          <w:tcPr>
            <w:tcW w:w="872" w:type="dxa"/>
            <w:tcBorders>
              <w:top w:val="single" w:sz="12" w:space="0" w:color="000000"/>
              <w:left w:val="single" w:sz="6" w:space="0" w:color="000000"/>
              <w:bottom w:val="single" w:sz="6"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(3,2)</w:t>
            </w:r>
          </w:p>
        </w:tc>
        <w:tc>
          <w:tcPr>
            <w:tcW w:w="877" w:type="dxa"/>
            <w:tcBorders>
              <w:top w:val="single" w:sz="12" w:space="0" w:color="000000"/>
              <w:lef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(3,3)</w:t>
            </w:r>
          </w:p>
        </w:tc>
        <w:tc>
          <w:tcPr>
            <w:tcW w:w="871" w:type="dxa"/>
            <w:tcBorders>
              <w:top w:val="single" w:sz="12" w:space="0" w:color="000000"/>
              <w:left w:val="single" w:sz="6" w:space="0" w:color="000000"/>
              <w:bottom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(3,4)</w:t>
            </w:r>
          </w:p>
        </w:tc>
        <w:tc>
          <w:tcPr>
            <w:tcW w:w="896" w:type="dxa"/>
            <w:tcBorders>
              <w:top w:val="single" w:sz="12" w:space="0" w:color="000000"/>
              <w:left w:val="single" w:sz="12" w:space="0" w:color="000000"/>
              <w:bottom w:val="single" w:sz="12" w:space="0" w:color="000000"/>
              <w:right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(3,5)</w:t>
            </w:r>
          </w:p>
        </w:tc>
        <w:tc>
          <w:tcPr>
            <w:tcW w:w="893" w:type="dxa"/>
            <w:tcBorders>
              <w:righ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MICI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 3 – 45</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ZILE</w:t>
            </w:r>
          </w:p>
        </w:tc>
        <w:tc>
          <w:tcPr>
            <w:tcW w:w="876" w:type="dxa"/>
            <w:tcBorders>
              <w:left w:val="single" w:sz="12" w:space="0" w:color="000000"/>
              <w:right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(2,1)</w:t>
            </w:r>
          </w:p>
        </w:tc>
        <w:tc>
          <w:tcPr>
            <w:tcW w:w="872" w:type="dxa"/>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(2,2)</w:t>
            </w:r>
          </w:p>
        </w:tc>
        <w:tc>
          <w:tcPr>
            <w:tcW w:w="877" w:type="dxa"/>
            <w:tcBorders>
              <w:top w:val="single" w:sz="12" w:space="0" w:color="000000"/>
              <w:left w:val="single" w:sz="6" w:space="0" w:color="000000"/>
              <w:bottom w:val="single" w:sz="12" w:space="0" w:color="000000"/>
              <w:right w:val="single" w:sz="6"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(2,3)</w:t>
            </w:r>
          </w:p>
        </w:tc>
        <w:tc>
          <w:tcPr>
            <w:tcW w:w="871" w:type="dxa"/>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(2,4)</w:t>
            </w:r>
          </w:p>
        </w:tc>
        <w:tc>
          <w:tcPr>
            <w:tcW w:w="896" w:type="dxa"/>
            <w:tcBorders>
              <w:left w:val="single" w:sz="12" w:space="0" w:color="000000"/>
              <w:right w:val="single" w:sz="6"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(2,5)</w:t>
            </w:r>
          </w:p>
        </w:tc>
        <w:tc>
          <w:tcPr>
            <w:tcW w:w="893" w:type="dxa"/>
            <w:tcBorders>
              <w:top w:val="single" w:sz="12" w:space="0" w:color="000000"/>
              <w:bottom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(2,6)</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r>
          </w:p>
        </w:tc>
      </w:tr>
      <w:tr>
        <w:trPr>
          <w:trHeight w:val="762" w:hRule="atLeast"/>
          <w:cantSplit/>
        </w:trPr>
        <w:tc>
          <w:tcPr>
            <w:tcW w:w="1180" w:type="dxa"/>
            <w:tcBorders>
              <w:top w:val="single" w:sz="6" w:space="0" w:color="000000"/>
              <w:left w:val="single" w:sz="12"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2890" w:type="dxa"/>
            <w:gridSpan w:val="3"/>
            <w:tcBorders>
              <w:top w:val="single" w:sz="6" w:space="0" w:color="000000"/>
              <w:bottom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NEGLIJABILE</w:t>
            </w:r>
          </w:p>
        </w:tc>
        <w:tc>
          <w:tcPr>
            <w:tcW w:w="876" w:type="dxa"/>
            <w:tcBorders>
              <w:top w:val="single" w:sz="6" w:space="0" w:color="000000"/>
              <w:left w:val="single" w:sz="12" w:space="0" w:color="000000"/>
              <w:bottom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(1,1)</w:t>
            </w:r>
          </w:p>
        </w:tc>
        <w:tc>
          <w:tcPr>
            <w:tcW w:w="872" w:type="dxa"/>
            <w:tcBorders>
              <w:top w:val="single" w:sz="12"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(1,2)</w:t>
            </w:r>
          </w:p>
        </w:tc>
        <w:tc>
          <w:tcPr>
            <w:tcW w:w="877" w:type="dxa"/>
            <w:tcBorders>
              <w:bottom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(1,3)</w:t>
            </w:r>
          </w:p>
        </w:tc>
        <w:tc>
          <w:tcPr>
            <w:tcW w:w="871" w:type="dxa"/>
            <w:tcBorders>
              <w:top w:val="single" w:sz="12"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(1,4)</w:t>
            </w:r>
          </w:p>
        </w:tc>
        <w:tc>
          <w:tcPr>
            <w:tcW w:w="896" w:type="dxa"/>
            <w:tcBorders>
              <w:top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893" w:type="dxa"/>
            <w:tcBorders>
              <w:bottom w:val="single" w:sz="12" w:space="0" w:color="000000"/>
              <w:right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(1,6)</w:t>
            </w:r>
          </w:p>
        </w:tc>
      </w:tr>
    </w:tbl>
    <w:p>
      <w:pPr>
        <w:pStyle w:val="Normal"/>
        <w:pageBreakBefor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5.</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SCALA DE ÎNCADRARE A NIVELURILOR DE RISC/SECURITATE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left" w:pos="720" w:leader="none"/>
          <w:tab w:val="left" w:pos="9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742"/>
        <w:gridCol w:w="1369"/>
        <w:gridCol w:w="5080"/>
        <w:gridCol w:w="875"/>
        <w:gridCol w:w="1289"/>
      </w:tblGrid>
      <w:tr>
        <w:trPr>
          <w:tblHeader w:val="true"/>
        </w:trPr>
        <w:tc>
          <w:tcPr>
            <w:tcW w:w="2111" w:type="dxa"/>
            <w:gridSpan w:val="2"/>
            <w:tcBorders>
              <w:top w:val="single" w:sz="12" w:space="0" w:color="000000"/>
              <w:left w:val="single" w:sz="12" w:space="0" w:color="000000"/>
              <w:bottom w:val="single" w:sz="12" w:space="0" w:color="000000"/>
              <w:right w:val="single" w:sz="6" w:space="0" w:color="000000"/>
            </w:tcBorders>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RISC</w:t>
            </w:r>
          </w:p>
        </w:tc>
        <w:tc>
          <w:tcPr>
            <w:tcW w:w="5080" w:type="dxa"/>
            <w:tcBorders>
              <w:top w:val="single" w:sz="12" w:space="0" w:color="000000"/>
              <w:left w:val="single" w:sz="6" w:space="0" w:color="000000"/>
              <w:bottom w:val="single" w:sz="12" w:space="0" w:color="000000"/>
              <w:right w:val="single" w:sz="6"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CUPLUL</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GRAVITATE - PROBABILITATE</w:t>
            </w:r>
          </w:p>
        </w:tc>
        <w:tc>
          <w:tcPr>
            <w:tcW w:w="2164" w:type="dxa"/>
            <w:gridSpan w:val="2"/>
            <w:tcBorders>
              <w:top w:val="single" w:sz="12" w:space="0" w:color="000000"/>
              <w:left w:val="single" w:sz="6"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 SECURITATE</w:t>
            </w:r>
          </w:p>
        </w:tc>
      </w:tr>
      <w:tr>
        <w:trPr>
          <w:trHeight w:val="465" w:hRule="atLeast"/>
        </w:trPr>
        <w:tc>
          <w:tcPr>
            <w:tcW w:w="742" w:type="dxa"/>
            <w:tcBorders>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1</w:t>
            </w:r>
          </w:p>
        </w:tc>
        <w:tc>
          <w:tcPr>
            <w:tcW w:w="1369" w:type="dxa"/>
            <w:tcBorders>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MINIM</w:t>
            </w:r>
          </w:p>
        </w:tc>
        <w:tc>
          <w:tcPr>
            <w:tcW w:w="5080" w:type="dxa"/>
            <w:tcBorders>
              <w:left w:val="single" w:sz="6" w:space="0" w:color="000000"/>
              <w:right w:val="single" w:sz="6"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(1,1) (1,2) (1,3) (1,4) (1,5) (1,6) (2,1)</w:t>
            </w:r>
          </w:p>
        </w:tc>
        <w:tc>
          <w:tcPr>
            <w:tcW w:w="875" w:type="dxa"/>
            <w:tcBorders>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7</w:t>
            </w:r>
          </w:p>
        </w:tc>
        <w:tc>
          <w:tcPr>
            <w:tcW w:w="1289" w:type="dxa"/>
            <w:tcBorders>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MAXIM</w:t>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2</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w:t>
            </w:r>
          </w:p>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c>
          <w:tcPr>
            <w:tcW w:w="5080" w:type="dxa"/>
            <w:tcBorders>
              <w:top w:val="single" w:sz="6" w:space="0" w:color="000000"/>
              <w:left w:val="single" w:sz="6" w:space="0" w:color="000000"/>
              <w:right w:val="single" w:sz="6" w:space="0" w:color="000000"/>
            </w:tcBorders>
            <w:shd w:color="auto" w:fill="auto" w:val="pct5"/>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(2,2) (2,3) (2,4) (3,1) (3,2) (4,1)</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6</w:t>
            </w:r>
          </w:p>
        </w:tc>
        <w:tc>
          <w:tcPr>
            <w:tcW w:w="1289" w:type="dxa"/>
            <w:tcBorders>
              <w:top w:val="single" w:sz="4" w:space="0" w:color="000000"/>
              <w:left w:val="single" w:sz="4" w:space="0" w:color="000000"/>
              <w:bottom w:val="single" w:sz="6"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MARE</w:t>
            </w:r>
          </w:p>
        </w:tc>
      </w:tr>
      <w:tr>
        <w:trPr>
          <w:trHeight w:val="408" w:hRule="atLeast"/>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3</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c>
          <w:tcPr>
            <w:tcW w:w="5080" w:type="dxa"/>
            <w:tcBorders>
              <w:top w:val="single" w:sz="6" w:space="0" w:color="000000"/>
              <w:left w:val="single" w:sz="6" w:space="0" w:color="000000"/>
              <w:right w:val="single" w:sz="6" w:space="0" w:color="000000"/>
            </w:tcBorders>
            <w:shd w:color="auto" w:fill="auto" w:val="pct2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(2,5) (2,6) (3,3) (3,4) (4,2) (5,1) (6,1) (7,1)</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5</w:t>
            </w:r>
          </w:p>
        </w:tc>
        <w:tc>
          <w:tcPr>
            <w:tcW w:w="1289" w:type="dxa"/>
            <w:tcBorders>
              <w:top w:val="single" w:sz="6"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MARE</w:t>
            </w:r>
          </w:p>
        </w:tc>
      </w:tr>
      <w:tr>
        <w:trPr>
          <w:trHeight w:val="525" w:hRule="atLeast"/>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4</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MEDIU</w:t>
            </w:r>
          </w:p>
        </w:tc>
        <w:tc>
          <w:tcPr>
            <w:tcW w:w="5080" w:type="dxa"/>
            <w:tcBorders>
              <w:top w:val="single" w:sz="6" w:space="0" w:color="000000"/>
              <w:left w:val="single" w:sz="6" w:space="0" w:color="000000"/>
              <w:right w:val="single" w:sz="6" w:space="0" w:color="000000"/>
            </w:tcBorders>
            <w:shd w:color="auto" w:fill="auto" w:val="pct4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(3,5) (3,6) (4,3) (4,4) (5,2) (5,3) (6,2) (7,2)</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4</w:t>
            </w:r>
          </w:p>
        </w:tc>
        <w:tc>
          <w:tcPr>
            <w:tcW w:w="1289" w:type="dxa"/>
            <w:tcBorders>
              <w:top w:val="single" w:sz="4"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MEDIU</w:t>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5</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MARE</w:t>
            </w:r>
          </w:p>
        </w:tc>
        <w:tc>
          <w:tcPr>
            <w:tcW w:w="5080" w:type="dxa"/>
            <w:tcBorders>
              <w:top w:val="single" w:sz="6" w:space="0" w:color="000000"/>
              <w:left w:val="single" w:sz="6" w:space="0" w:color="000000"/>
              <w:right w:val="single" w:sz="6" w:space="0" w:color="000000"/>
            </w:tcBorders>
            <w:shd w:color="auto" w:fill="auto" w:val="pct6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(4,5) (4,6) (5,4) (5,5) (6,3) (7,3)</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3</w:t>
            </w:r>
          </w:p>
        </w:tc>
        <w:tc>
          <w:tcPr>
            <w:tcW w:w="1289" w:type="dxa"/>
            <w:tcBorders>
              <w:top w:val="single" w:sz="4"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6</w:t>
            </w:r>
          </w:p>
        </w:tc>
        <w:tc>
          <w:tcPr>
            <w:tcW w:w="1369" w:type="dxa"/>
            <w:tcBorders>
              <w:top w:val="single" w:sz="6" w:space="0" w:color="000000"/>
              <w:left w:val="single" w:sz="4"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MARE</w:t>
            </w:r>
          </w:p>
        </w:tc>
        <w:tc>
          <w:tcPr>
            <w:tcW w:w="5080" w:type="dxa"/>
            <w:tcBorders>
              <w:top w:val="single" w:sz="6" w:space="0" w:color="000000"/>
              <w:left w:val="single" w:sz="6" w:space="0" w:color="000000"/>
              <w:right w:val="single" w:sz="6" w:space="0" w:color="000000"/>
            </w:tcBorders>
            <w:shd w:color="auto" w:fill="auto" w:val="pct8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(5,6) (6,4) (6,5) (7,4)</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2</w:t>
            </w:r>
          </w:p>
        </w:tc>
        <w:tc>
          <w:tcPr>
            <w:tcW w:w="1289" w:type="dxa"/>
            <w:tcBorders>
              <w:top w:val="single" w:sz="4" w:space="0" w:color="000000"/>
              <w:left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MIC</w:t>
            </w:r>
          </w:p>
        </w:tc>
      </w:tr>
      <w:tr>
        <w:trPr/>
        <w:tc>
          <w:tcPr>
            <w:tcW w:w="742" w:type="dxa"/>
            <w:tcBorders>
              <w:top w:val="single" w:sz="6" w:space="0" w:color="000000"/>
              <w:left w:val="single" w:sz="12"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7</w:t>
            </w:r>
          </w:p>
        </w:tc>
        <w:tc>
          <w:tcPr>
            <w:tcW w:w="1369" w:type="dxa"/>
            <w:tcBorders>
              <w:top w:val="single" w:sz="6"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MAXIM</w:t>
            </w:r>
          </w:p>
        </w:tc>
        <w:tc>
          <w:tcPr>
            <w:tcW w:w="5080" w:type="dxa"/>
            <w:tcBorders>
              <w:top w:val="single" w:sz="6" w:space="0" w:color="000000"/>
              <w:left w:val="single" w:sz="6" w:space="0" w:color="000000"/>
              <w:bottom w:val="single" w:sz="12" w:space="0" w:color="000000"/>
              <w:right w:val="single" w:sz="6" w:space="0" w:color="000000"/>
            </w:tcBorders>
            <w:shd w:color="auto" w:fill="auto" w:val="solid"/>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(6,6) (7,5) (7,6)</w:t>
            </w:r>
          </w:p>
        </w:tc>
        <w:tc>
          <w:tcPr>
            <w:tcW w:w="875" w:type="dxa"/>
            <w:tcBorders>
              <w:top w:val="single" w:sz="6"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1</w:t>
            </w:r>
          </w:p>
        </w:tc>
        <w:tc>
          <w:tcPr>
            <w:tcW w:w="1289" w:type="dxa"/>
            <w:tcBorders>
              <w:top w:val="single" w:sz="6" w:space="0" w:color="000000"/>
              <w:left w:val="single" w:sz="4"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MINIM</w:t>
            </w:r>
          </w:p>
        </w:tc>
      </w:tr>
    </w:tbl>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6.</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ORDINEA IERARHICĂ A MĂSURILOR DE PREVENIRE</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PRIMARE (măsuri de ordinul întâi) – ELIMINAREA RISCURILOR: </w:t>
      </w:r>
      <w:r>
        <w:rPr>
          <w:rFonts w:eastAsia="Arial" w:cs="Arial" w:ascii="Arial" w:hAnsi="Arial"/>
          <w:b w:val="false"/>
          <w:color w:val="auto"/>
          <w:sz w:val="20"/>
          <w:szCs w:val="20"/>
          <w:lang w:val="ro-RO"/>
        </w:rPr>
        <w:t xml:space="preserve">măsurile trebuie să acționeze direct asupra sursei de factori de risc (prevenire intrinsecă).</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SECUNDARE (măsuri de ordinul doi) – IZOLAREA RISCURILOR: </w:t>
      </w:r>
      <w:r>
        <w:rPr>
          <w:rFonts w:eastAsia="Arial" w:cs="Arial" w:ascii="Arial" w:hAnsi="Arial"/>
          <w:b w:val="false"/>
          <w:color w:val="auto"/>
          <w:sz w:val="20"/>
          <w:szCs w:val="20"/>
          <w:lang w:val="ro-RO"/>
        </w:rPr>
        <w:t xml:space="preserve">factorii de risc persistă, dar prin măsuri de protecție colectivă se evită sau diminuează acțiunea lor asupra omului.</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TERȚIARE (măsuri de ordinul trei) – EVITAREA RISCURILOR: </w:t>
      </w:r>
      <w:r>
        <w:rPr>
          <w:rFonts w:eastAsia="Arial" w:cs="Arial" w:ascii="Arial" w:hAnsi="Arial"/>
          <w:b w:val="false"/>
          <w:color w:val="auto"/>
          <w:sz w:val="20"/>
          <w:szCs w:val="20"/>
          <w:lang w:val="ro-RO"/>
        </w:rPr>
        <w:t xml:space="preserve">interacțiunea dintre factorii de risc și om se evită prin măsuri organizatorice și reglementări privind comportamentul.</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CUATERNARE (măsuri de ordinul patru) – IZOLAREA OMULUI: </w:t>
      </w:r>
      <w:r>
        <w:rPr>
          <w:rFonts w:eastAsia="Arial" w:cs="Arial" w:ascii="Arial" w:hAnsi="Arial"/>
          <w:b w:val="false"/>
          <w:color w:val="auto"/>
          <w:sz w:val="20"/>
          <w:szCs w:val="20"/>
          <w:lang w:val="ro-RO"/>
        </w:rPr>
        <w:t xml:space="preserve">limitarea acțiunii factorilor de risc se face prin protecție individuală.</w:t>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BIBLIOGRAFIE</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Băbuț, G., Moraru, R.</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Protecția muncii</w:t>
      </w:r>
      <w:r>
        <w:rPr>
          <w:rFonts w:eastAsia="Arial" w:cs="Arial" w:ascii="Arial" w:hAnsi="Arial"/>
          <w:color w:val="auto"/>
          <w:spacing w:val="0"/>
          <w:w w:val="100"/>
          <w:sz w:val="20"/>
          <w:szCs w:val="20"/>
          <w:lang w:val="ro-RO"/>
        </w:rPr>
        <w:t>,</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Editura Universitas, Petroșani, 1999.</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Darabont, Al., Pece, Șt.</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Protecția muncii</w:t>
      </w:r>
      <w:r>
        <w:rPr>
          <w:rFonts w:eastAsia="Arial" w:cs="Arial" w:ascii="Arial" w:hAnsi="Arial"/>
          <w:color w:val="auto"/>
          <w:spacing w:val="0"/>
          <w:w w:val="100"/>
          <w:sz w:val="20"/>
          <w:szCs w:val="20"/>
          <w:lang w:val="ro-RO"/>
        </w:rPr>
        <w:t>, Editura Didactică și Pedagogică, București, 1996.</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Darabont, Al., Pece, Șt., Dăscălescu, A.</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Managementul securității și sănătății în muncă (vol. I și II)</w:t>
      </w:r>
      <w:r>
        <w:rPr>
          <w:rFonts w:eastAsia="Arial" w:cs="Arial" w:ascii="Arial" w:hAnsi="Arial"/>
          <w:color w:val="auto"/>
          <w:spacing w:val="0"/>
          <w:w w:val="100"/>
          <w:sz w:val="20"/>
          <w:szCs w:val="20"/>
          <w:lang w:val="ro-RO"/>
        </w:rPr>
        <w:t>, Editura AGIR,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 xml:space="preserve">Darabont, Al., Darabont, D., Constantin, G., Darabont, D., </w:t>
      </w:r>
      <w:r>
        <w:rPr>
          <w:rFonts w:eastAsia="Arial" w:cs="Arial" w:ascii="Arial" w:hAnsi="Arial"/>
          <w:i/>
          <w:color w:val="auto"/>
          <w:spacing w:val="0"/>
          <w:w w:val="100"/>
          <w:sz w:val="20"/>
          <w:szCs w:val="20"/>
          <w:lang w:val="ro-RO"/>
        </w:rPr>
        <w:t xml:space="preserve">Evaluarea calității de securitate a echipamentelor tehnice, </w:t>
      </w:r>
      <w:r>
        <w:rPr>
          <w:rFonts w:eastAsia="Arial" w:cs="Arial" w:ascii="Arial" w:hAnsi="Arial"/>
          <w:color w:val="auto"/>
          <w:spacing w:val="0"/>
          <w:w w:val="100"/>
          <w:sz w:val="20"/>
          <w:szCs w:val="20"/>
          <w:lang w:val="ro-RO"/>
        </w:rPr>
        <w:t>Editura AGIR,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Moraru, R., Băbuț, G.</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Analiză de risc,</w:t>
      </w:r>
      <w:r>
        <w:rPr>
          <w:rFonts w:eastAsia="Arial" w:cs="Arial" w:ascii="Arial" w:hAnsi="Arial"/>
          <w:color w:val="auto"/>
          <w:spacing w:val="0"/>
          <w:w w:val="100"/>
          <w:sz w:val="20"/>
          <w:szCs w:val="20"/>
          <w:lang w:val="ro-RO"/>
        </w:rPr>
        <w:t xml:space="preserve"> Editura Universitas, Petroșani, 2000.</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Moraru, R., Băbuț, G., Matei, I.</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Ghid pentru evaluarea riscurilor profesionale,</w:t>
      </w:r>
      <w:r>
        <w:rPr>
          <w:rFonts w:eastAsia="Arial" w:cs="Arial" w:ascii="Arial" w:hAnsi="Arial"/>
          <w:color w:val="auto"/>
          <w:spacing w:val="0"/>
          <w:w w:val="100"/>
          <w:sz w:val="20"/>
          <w:szCs w:val="20"/>
          <w:lang w:val="ro-RO"/>
        </w:rPr>
        <w:t xml:space="preserve"> Editura Focus, Petroșani, 2002.</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Metode de analiză apriorică a riscurilor profesionale</w:t>
      </w:r>
      <w:r>
        <w:rPr>
          <w:rFonts w:eastAsia="Arial" w:cs="Arial" w:ascii="Arial" w:hAnsi="Arial"/>
          <w:color w:val="auto"/>
          <w:spacing w:val="0"/>
          <w:w w:val="100"/>
          <w:sz w:val="20"/>
          <w:szCs w:val="20"/>
          <w:lang w:val="ro-RO"/>
        </w:rPr>
        <w:t>, I.N.I.D., București, 1993.</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Metodă de evaluare a securității muncii la nivelul microsistemelor (loc de muncă)</w:t>
      </w:r>
      <w:r>
        <w:rPr>
          <w:rFonts w:eastAsia="Arial" w:cs="Arial" w:ascii="Arial" w:hAnsi="Arial"/>
          <w:color w:val="auto"/>
          <w:spacing w:val="0"/>
          <w:w w:val="100"/>
          <w:sz w:val="20"/>
          <w:szCs w:val="20"/>
          <w:lang w:val="ro-RO"/>
        </w:rPr>
        <w:t>, Risc și securitate în muncă, I.C.S.P.M. București, nr. 3-4/ 1994.</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 Dăscălescu A.</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Metodă de evaluare a riscurilor de accidentare și îmbolnăvire profesională la locurile de muncă</w:t>
      </w:r>
      <w:r>
        <w:rPr>
          <w:rFonts w:eastAsia="Arial" w:cs="Arial" w:ascii="Arial" w:hAnsi="Arial"/>
          <w:color w:val="auto"/>
          <w:spacing w:val="0"/>
          <w:w w:val="100"/>
          <w:sz w:val="20"/>
          <w:szCs w:val="20"/>
          <w:lang w:val="ro-RO"/>
        </w:rPr>
        <w:t>, M.M.P.S.-I.C.S.P.M. București, 1998.</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 Dăscălescu A. ș.a.</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Securitate și sănătate în muncă - Dicționar explicativ</w:t>
      </w:r>
      <w:r>
        <w:rPr>
          <w:rFonts w:eastAsia="Arial" w:cs="Arial" w:ascii="Arial" w:hAnsi="Arial"/>
          <w:color w:val="auto"/>
          <w:spacing w:val="0"/>
          <w:w w:val="100"/>
          <w:sz w:val="20"/>
          <w:szCs w:val="20"/>
          <w:lang w:val="ro-RO"/>
        </w:rPr>
        <w:t>, Editura GENICOD,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Evaluarea riscurilor în sistemul om-mașină</w:t>
      </w:r>
      <w:r>
        <w:rPr>
          <w:rFonts w:eastAsia="Arial" w:cs="Arial" w:ascii="Arial" w:hAnsi="Arial"/>
          <w:color w:val="auto"/>
          <w:spacing w:val="0"/>
          <w:w w:val="100"/>
          <w:sz w:val="20"/>
          <w:szCs w:val="20"/>
          <w:lang w:val="ro-RO"/>
        </w:rPr>
        <w:t>, Editura Atlas Press, București, 2003.</w:t>
      </w:r>
    </w:p>
    <w:p>
      <w:pPr>
        <w:pStyle w:val="Heading1"/>
        <w:widowControl/>
        <w:numPr>
          <w:ilvl w:val="0"/>
          <w:numId w:val="16"/>
        </w:numPr>
        <w:spacing w:before="0" w:after="40"/>
        <w:jc w:val="left"/>
        <w:rPr>
          <w:rFonts w:ascii="Arial" w:hAnsi="Arial" w:cs="Arial"/>
          <w:b w:val="false"/>
          <w:spacing w:val="-4"/>
          <w:sz w:val="18"/>
          <w:szCs w:val="18"/>
          <w:lang w:val="ro-RO"/>
        </w:rPr>
      </w:pPr>
      <w:r>
        <w:rPr>
          <w:rFonts w:eastAsia="Arial" w:cs="Arial" w:ascii="Arial" w:hAnsi="Arial"/>
          <w:color w:val="auto"/>
          <w:spacing w:val="0"/>
          <w:w w:val="100"/>
          <w:sz w:val="20"/>
          <w:szCs w:val="20"/>
          <w:lang w:val="ro-RO"/>
        </w:rPr>
        <w:t xml:space="preserve">Legea nr. 319/2006</w:t>
      </w:r>
      <w:r>
        <w:rPr>
          <w:rFonts w:eastAsia="Arial" w:cs="Arial" w:ascii="Arial" w:hAnsi="Arial"/>
          <w:b w:val="false"/>
          <w:i/>
          <w:color w:val="auto"/>
          <w:spacing w:val="0"/>
          <w:w w:val="100"/>
          <w:sz w:val="20"/>
          <w:szCs w:val="20"/>
          <w:lang w:val="ro-RO"/>
        </w:rPr>
        <w:t xml:space="preserve"> privind securitatea și sănătatea în muncă</w:t>
      </w:r>
      <w:r>
        <w:rPr>
          <w:rFonts w:eastAsia="Arial" w:cs="Arial" w:ascii="Arial" w:hAnsi="Arial"/>
          <w:b w:val="false"/>
          <w:color w:val="auto"/>
          <w:spacing w:val="0"/>
          <w:w w:val="100"/>
          <w:sz w:val="20"/>
          <w:szCs w:val="20"/>
          <w:lang w:val="ro-RO"/>
        </w:rPr>
        <w:t>.</w:t>
      </w:r>
    </w:p>
    <w:p>
      <w:pPr>
        <w:pStyle w:val="Normal"/>
        <w:widowControl/>
        <w:numPr>
          <w:ilvl w:val="0"/>
          <w:numId w:val="16"/>
        </w:numPr>
        <w:shd w:val="clear" w:color="auto" w:fill="FFFFFF"/>
        <w:spacing w:before="0" w:after="40"/>
        <w:jc w:val="left"/>
        <w:rPr>
          <w:rFonts w:ascii="Arial" w:hAnsi="Arial" w:cs="Arial"/>
          <w:b/>
          <w:sz w:val="18"/>
          <w:szCs w:val="18"/>
        </w:rPr>
      </w:pPr>
      <w:r>
        <w:rPr>
          <w:rFonts w:eastAsia="Arial" w:cs="Arial" w:ascii="Arial" w:hAnsi="Arial"/>
          <w:b/>
          <w:color w:val="auto"/>
          <w:spacing w:val="0"/>
          <w:w w:val="100"/>
          <w:sz w:val="20"/>
          <w:szCs w:val="20"/>
          <w:lang w:val="ro-RO"/>
        </w:rPr>
        <w:t>H.G. 1425</w:t>
      </w:r>
      <w:r>
        <w:rPr>
          <w:rFonts w:eastAsia="Arial" w:cs="Arial" w:ascii="Arial" w:hAnsi="Arial"/>
          <w:b/>
          <w:bCs/>
          <w:color w:val="auto"/>
          <w:spacing w:val="0"/>
          <w:w w:val="100"/>
          <w:sz w:val="20"/>
          <w:szCs w:val="20"/>
          <w:lang w:val="ro-RO"/>
        </w:rPr>
        <w:t xml:space="preserve">/2006</w:t>
      </w:r>
      <w:r>
        <w:rPr>
          <w:rFonts w:eastAsia="Arial" w:cs="Arial" w:ascii="Arial" w:hAnsi="Arial"/>
          <w:bCs/>
          <w:i/>
          <w:color w:val="auto"/>
          <w:spacing w:val="0"/>
          <w:w w:val="100"/>
          <w:sz w:val="20"/>
          <w:szCs w:val="20"/>
          <w:lang w:val="ro-RO"/>
        </w:rPr>
        <w:t xml:space="preserve"> </w:t>
      </w:r>
      <w:r>
        <w:rPr>
          <w:rFonts w:eastAsia="Arial" w:cs="Arial" w:ascii="Arial" w:hAnsi="Arial"/>
          <w:i/>
          <w:color w:val="auto"/>
          <w:spacing w:val="0"/>
          <w:w w:val="100"/>
          <w:sz w:val="20"/>
          <w:szCs w:val="20"/>
          <w:lang w:val="ro-RO"/>
        </w:rPr>
        <w:t xml:space="preserve">privind aprobarea Normelor metodologice de aplicare a Legii nr. 319/2006.</w:t>
      </w:r>
    </w:p>
    <w:p>
      <w:pPr>
        <w:pStyle w:val="Normal"/>
        <w:widowControl/>
        <w:numPr>
          <w:ilvl w:val="0"/>
          <w:numId w:val="16"/>
        </w:numPr>
        <w:shd w:val="clear" w:color="auto" w:fill="FFFFFF"/>
        <w:spacing w:before="0" w:after="40"/>
        <w:jc w:val="left"/>
        <w:rPr>
          <w:rFonts w:ascii="Arial" w:hAnsi="Arial" w:cs="Arial"/>
          <w:bCs/>
          <w:sz w:val="18"/>
          <w:szCs w:val="18"/>
        </w:rPr>
      </w:pPr>
      <w:r>
        <w:rPr>
          <w:rFonts w:eastAsia="Arial" w:cs="Arial" w:ascii="Arial" w:hAnsi="Arial"/>
          <w:b/>
          <w:color w:val="auto"/>
          <w:spacing w:val="0"/>
          <w:w w:val="100"/>
          <w:sz w:val="20"/>
          <w:szCs w:val="20"/>
          <w:lang w:val="ro-RO"/>
        </w:rPr>
        <w:t xml:space="preserve">H.G. 259/2022 </w:t>
      </w:r>
      <w:r>
        <w:rPr>
          <w:rFonts w:eastAsia="Arial" w:cs="Arial" w:ascii="Arial" w:hAnsi="Arial"/>
          <w:bCs/>
          <w:color w:val="auto"/>
          <w:spacing w:val="0"/>
          <w:w w:val="100"/>
          <w:sz w:val="20"/>
          <w:szCs w:val="20"/>
          <w:lang w:val="ro-RO"/>
        </w:rPr>
        <w:t>pentru modificarea și completarea Normelor metodologice de aplicare a prevederilor Legii securității și sănătății în muncă nr. 319/2006, aprobate prin Hotărârea Guvernului nr. 1.425/2006</w:t>
      </w:r>
      <w:r>
        <w:rPr>
          <w:rFonts w:eastAsia="Arial" w:cs="Arial" w:ascii="Arial" w:hAnsi="Arial"/>
          <w:bCs/>
          <w:i/>
          <w:color w:val="auto"/>
          <w:spacing w:val="0"/>
          <w:w w:val="100"/>
          <w:sz w:val="20"/>
          <w:szCs w:val="20"/>
          <w:lang w:val="ro-RO"/>
        </w:rPr>
        <w:t>.</w:t>
      </w:r>
    </w:p>
    <w:p>
      <w:pPr>
        <w:pStyle w:val="Normal"/>
        <w:widowControl/>
        <w:spacing w:lineRule="auto" w:line="360" w:before="0" w:after="0"/>
        <w:ind w:hanging="360" w:left="360"/>
        <w:jc w:val="left"/>
        <w:rPr>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r>
        <w:br w:type="page"/>
      </w:r>
    </w:p>
    <w:p>
      <w:pPr>
        <w:pStyle w:val="Normal"/>
        <w:keepNext w:val="true"/>
        <w:widowControl/>
        <w:numPr>
          <w:ilvl w:val="0"/>
          <w:numId w:val="0"/>
        </w:numPr>
        <w:spacing w:before="240" w:after="120"/>
        <w:ind w:hanging="0" w:left="0"/>
        <w:jc w:val="center"/>
        <w:rPr>
          <w:rFonts w:ascii="Arial" w:hAnsi="Arial" w:cs="Arial"/>
          <w:b/>
          <w:sz w:val="20"/>
          <w:szCs w:val="20"/>
        </w:rPr>
      </w:pPr>
      <w:r>
        <w:rPr>
          <w:rFonts w:eastAsia="Arial" w:cs="Arial" w:ascii="Arial" w:hAnsi="Arial"/>
          <w:b/>
          <w:i w:val="false"/>
          <w:color w:val="auto"/>
          <w:spacing w:val="0"/>
          <w:w w:val="100"/>
          <w:sz w:val="20"/>
          <w:szCs w:val="20"/>
          <w:lang w:val="ro-RO"/>
        </w:rPr>
        <w:t>CAPITOLUL V. UTILIZAREA METODEI ELABORATE DE I.N.C.D.P.M. BUCUREȘTI PENTRU EVALUAREA RISCURILOR DE ACCIDENTARE ȘI ÎMBOLNĂVIRE PROFESIONALĂ LA {{client.legalName}}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{{#riskAssessment.evaluations}}</w:t>
      </w:r>
    </w:p>
    <w:p>
      <w:pPr>
        <w:pStyle w:val="Normal"/>
        <w:keepNext w:val="true"/>
        <w:pageBreakBefore w:val="false"/>
        <w:widowControl/>
        <w:numPr>
          <w:ilvl w:val="0"/>
          <w:numId w:val="0"/>
        </w:numPr>
        <w:spacing w:before="240" w:after="120"/>
        <w:ind w:hanging="0" w:left="0"/>
        <w:jc w:val="center"/>
        <w:rPr>
          <w:rFonts w:ascii="Arial" w:hAnsi="Arial" w:cs="Arial"/>
          <w:b/>
          <w:sz w:val="20"/>
          <w:szCs w:val="20"/>
        </w:rPr>
      </w:pPr>
      <w:r>
        <w:rPr>
          <w:rFonts w:eastAsia="Arial" w:cs="Arial" w:ascii="Arial" w:hAnsi="Arial"/>
          <w:b/>
          <w:i w:val="false"/>
          <w:color w:val="auto"/>
          <w:spacing w:val="0"/>
          <w:w w:val="100"/>
          <w:sz w:val="20"/>
          <w:szCs w:val="20"/>
          <w:lang w:val="ro-RO"/>
        </w:rPr>
        <w:t>SUBCAPITOLUL V.{{roman}}. EVALUAREA RISCURILOR DE ACCIDENTARE ȘI ÎMBOLNĂVIRE PROFESIONALĂ PENTRU {{heading}}</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 DEFINIREA LOCULUI DE MUNCĂ, ANALIZA PROCESULUI DE MUNCĂ ȘI DETERMINAREA ELEMENTELOR COMPONENTE ALE SISTEMULUI DE MUNCĂ EVALUAT</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Punctele de referință ale evaluării riscurilor de accidentare și îmbolnăvire profesională sunt sarcina de muncă, mediul de muncă și condițiile de interacțiune cu mijloacele de producție. Componentele sistemului de muncă evaluat sunt:</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color w:val="auto"/>
          <w:sz w:val="20"/>
          <w:szCs w:val="20"/>
          <w:lang w:val="ro-RO"/>
        </w:rPr>
        <w:t xml:space="preserve">Executant: </w:t>
      </w:r>
      <w:r>
        <w:rPr>
          <w:rFonts w:eastAsia="Arial" w:cs="Arial" w:ascii="Arial" w:hAnsi="Arial"/>
          <w:b w:val="false"/>
          <w:color w:val="auto"/>
          <w:sz w:val="20"/>
          <w:szCs w:val="20"/>
          <w:lang w:val="ro-RO"/>
        </w:rPr>
        <w:t xml:space="preserve">{{workSystem.executant}}</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color w:val="auto"/>
          <w:sz w:val="20"/>
          <w:szCs w:val="20"/>
          <w:lang w:val="ro-RO"/>
        </w:rPr>
        <w:t xml:space="preserve">Sarcina de muncă: </w:t>
      </w:r>
      <w:r>
        <w:rPr>
          <w:rFonts w:eastAsia="Arial" w:cs="Arial" w:ascii="Arial" w:hAnsi="Arial"/>
          <w:b w:val="false"/>
          <w:color w:val="auto"/>
          <w:sz w:val="20"/>
          <w:szCs w:val="20"/>
          <w:lang w:val="ro-RO"/>
        </w:rPr>
        <w:t xml:space="preserve">{{workSystem.workTask}}</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color w:val="auto"/>
          <w:sz w:val="20"/>
          <w:szCs w:val="20"/>
          <w:lang w:val="ro-RO"/>
        </w:rPr>
        <w:t xml:space="preserve">Mijloacele de producție: </w:t>
      </w:r>
      <w:r>
        <w:rPr>
          <w:rFonts w:eastAsia="Arial" w:cs="Arial" w:ascii="Arial" w:hAnsi="Arial"/>
          <w:b w:val="false"/>
          <w:color w:val="auto"/>
          <w:sz w:val="20"/>
          <w:szCs w:val="20"/>
          <w:lang w:val="ro-RO"/>
        </w:rPr>
        <w:t xml:space="preserve">{{workSystem.meansOfProduction}}</w:t>
      </w:r>
    </w:p>
    <w:p>
      <w:pPr>
        <w:pStyle w:val="Normal"/>
        <w:keepNext w:val="false"/>
        <w:pageBreakBefore w:val="false"/>
        <w:widowControl/>
        <w:numPr>
          <w:ilvl w:val="0"/>
          <w:numId w:val="0"/>
        </w:numPr>
        <w:spacing w:before="0" w:after="120"/>
        <w:ind w:hanging="0" w:left="360"/>
        <w:jc w:val="left"/>
        <w:rPr>
          <w:rFonts w:ascii="Arial" w:hAnsi="Arial" w:cs="Arial"/>
          <w:sz w:val="20"/>
          <w:szCs w:val="20"/>
        </w:rPr>
      </w:pPr>
      <w:r>
        <w:rPr>
          <w:rFonts w:eastAsia="Arial" w:cs="Arial" w:ascii="Arial" w:hAnsi="Arial"/>
          <w:b/>
          <w:color w:val="auto"/>
          <w:sz w:val="20"/>
          <w:szCs w:val="20"/>
          <w:lang w:val="ro-RO"/>
        </w:rPr>
        <w:t xml:space="preserve">Mediul de muncă: </w:t>
      </w:r>
      <w:r>
        <w:rPr>
          <w:rFonts w:eastAsia="Arial" w:cs="Arial" w:ascii="Arial" w:hAnsi="Arial"/>
          <w:b w:val="false"/>
          <w:color w:val="auto"/>
          <w:sz w:val="20"/>
          <w:szCs w:val="20"/>
          <w:lang w:val="ro-RO"/>
        </w:rPr>
        <w:t xml:space="preserve">{{workSystem.workEnvironment}}</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II. IDENTIFICAREA FACTORILOR DE RISC SPECIFICI LOCULUI DE MUNCĂ</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{{#components}}</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{{$index}}. Factori de risc proprii {{of}}:</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{{#noFactors}}</w:t>
      </w:r>
    </w:p>
    <w:p>
      <w:pPr>
        <w:pStyle w:val="Normal"/>
        <w:keepNext w:val="fals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Nu au fost identificați factori de risc proprii {{of}}.</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{{/noFactors}}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{{#groups}}</w:t>
      </w:r>
    </w:p>
    <w:p>
      <w:pPr>
        <w:pStyle w:val="Normal"/>
        <w:keepNext w:val="tru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{{letter}}) {{name}}: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{{#factors}}</w:t>
      </w:r>
    </w:p>
    <w:p>
      <w:pPr>
        <w:pStyle w:val="Normal"/>
        <w:keepNext w:val="false"/>
        <w:pageBreakBefore w:val="false"/>
        <w:widowControl/>
        <w:numPr>
          <w:ilvl w:val="0"/>
          <w:numId w:val="0"/>
        </w:numPr>
        <w:spacing w:before="0" w:after="40"/>
        <w:ind w:hanging="0" w:left="720"/>
        <w:jc w:val="left"/>
        <w:rPr>
          <w:rFonts w:ascii="Arial" w:hAnsi="Arial" w:cs="Arial"/>
          <w:b/>
          <w:sz w:val="20"/>
          <w:szCs w:val="20"/>
        </w:rPr>
      </w:pPr>
      <w:r>
        <w:rPr>
          <w:rFonts w:eastAsia="Arial" w:cs="Arial" w:ascii="Arial" w:hAnsi="Arial"/>
          <w:b w:val="false"/>
          <w:i w:val="false"/>
          <w:color w:val="auto"/>
          <w:spacing w:val="0"/>
          <w:w w:val="100"/>
          <w:sz w:val="20"/>
          <w:szCs w:val="20"/>
          <w:lang w:val="ro-RO"/>
        </w:rPr>
        <w:t>{{code}}. {{description}}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{{/factors}}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{{/groups}}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{{/components}}</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 xml:space="preserve">III. FIȘA DE EVALUARE A RISCURILOR DE ACCIDENTARE ȘI/ SAU ÎMBOLNĂVIRE PROFESIONALĂ</w:t>
      </w:r>
    </w:p>
    <w:p>
      <w:pPr>
        <w:pStyle w:val="Normal"/>
        <w:keepNext w:val="tru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Unitatea: </w:t>
      </w:r>
      <w:r>
        <w:rPr>
          <w:rFonts w:eastAsia="Arial" w:cs="Arial" w:ascii="Arial" w:hAnsi="Arial"/>
          <w:b w:val="false"/>
          <w:color w:val="auto"/>
          <w:sz w:val="20"/>
          <w:szCs w:val="20"/>
          <w:lang w:val="ro-RO"/>
        </w:rPr>
        <w:t xml:space="preserve">{{client.legalName}}</w:t>
      </w:r>
      <w:r>
        <w:br/>
      </w:r>
      <w:r>
        <w:rPr>
          <w:rFonts w:eastAsia="Arial" w:cs="Arial" w:ascii="Arial" w:hAnsi="Arial"/>
          <w:b/>
          <w:color w:val="auto"/>
          <w:sz w:val="20"/>
          <w:szCs w:val="20"/>
          <w:lang w:val="ro-RO"/>
        </w:rPr>
        <w:t xml:space="preserve">Locul de muncă: </w:t>
      </w:r>
      <w:r>
        <w:rPr>
          <w:rFonts w:eastAsia="Arial" w:cs="Arial" w:ascii="Arial" w:hAnsi="Arial"/>
          <w:b w:val="false"/>
          <w:color w:val="auto"/>
          <w:sz w:val="20"/>
          <w:szCs w:val="20"/>
          <w:lang w:val="ro-RO"/>
        </w:rPr>
        <w:t xml:space="preserve">{{workZoneOrDash}}</w:t>
      </w:r>
      <w:r>
        <w:br/>
      </w:r>
      <w:r>
        <w:rPr>
          <w:rFonts w:eastAsia="Arial" w:cs="Arial" w:ascii="Arial" w:hAnsi="Arial"/>
          <w:b/>
          <w:color w:val="auto"/>
          <w:sz w:val="20"/>
          <w:szCs w:val="20"/>
          <w:lang w:val="ro-RO"/>
        </w:rPr>
        <w:t xml:space="preserve">Postul de lucru: </w:t>
      </w:r>
      <w:r>
        <w:rPr>
          <w:rFonts w:eastAsia="Arial" w:cs="Arial" w:ascii="Arial" w:hAnsi="Arial"/>
          <w:b w:val="false"/>
          <w:color w:val="auto"/>
          <w:sz w:val="20"/>
          <w:szCs w:val="20"/>
          <w:lang w:val="ro-RO"/>
        </w:rPr>
        <w:t xml:space="preserve">{{name}}</w:t>
      </w:r>
    </w:p>
    <w:p>
      <w:pPr>
        <w:pStyle w:val="Normal"/>
        <w:keepNext w:val="tru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Număr persoane expuse: </w:t>
      </w:r>
      <w:r>
        <w:rPr>
          <w:rFonts w:eastAsia="Arial" w:cs="Arial" w:ascii="Arial" w:hAnsi="Arial"/>
          <w:b w:val="false"/>
          <w:color w:val="auto"/>
          <w:sz w:val="20"/>
          <w:szCs w:val="20"/>
          <w:lang w:val="ro-RO"/>
        </w:rPr>
        <w:t xml:space="preserve">{{exposedPersons}}</w:t>
      </w:r>
      <w:r>
        <w:br/>
      </w:r>
      <w:r>
        <w:rPr>
          <w:rFonts w:eastAsia="Arial" w:cs="Arial" w:ascii="Arial" w:hAnsi="Arial"/>
          <w:b/>
          <w:color w:val="auto"/>
          <w:sz w:val="20"/>
          <w:szCs w:val="20"/>
          <w:lang w:val="ro-RO"/>
        </w:rPr>
        <w:t xml:space="preserve">Durata expunerii: </w:t>
      </w:r>
      <w:r>
        <w:rPr>
          <w:rFonts w:eastAsia="Arial" w:cs="Arial" w:ascii="Arial" w:hAnsi="Arial"/>
          <w:b w:val="false"/>
          <w:color w:val="auto"/>
          <w:sz w:val="20"/>
          <w:szCs w:val="20"/>
          <w:lang w:val="ro-RO"/>
        </w:rPr>
        <w:t xml:space="preserve">{{exposure}}</w:t>
      </w:r>
      <w:r>
        <w:br/>
      </w:r>
      <w:r>
        <w:rPr>
          <w:rFonts w:eastAsia="Arial" w:cs="Arial" w:ascii="Arial" w:hAnsi="Arial"/>
          <w:b/>
          <w:color w:val="auto"/>
          <w:sz w:val="20"/>
          <w:szCs w:val="20"/>
          <w:lang w:val="ro-RO"/>
        </w:rPr>
        <w:t xml:space="preserve">Echipa de evaluare: </w:t>
      </w:r>
      <w:r>
        <w:rPr>
          <w:rFonts w:eastAsia="Arial" w:cs="Arial" w:ascii="Arial" w:hAnsi="Arial"/>
          <w:b w:val="false"/>
          <w:color w:val="auto"/>
          <w:sz w:val="20"/>
          <w:szCs w:val="20"/>
          <w:lang w:val="ro-RO"/>
        </w:rPr>
        <w:t xml:space="preserve">{{#evaluationTeam}}{{name}} ({{jobTitle}}), {{/evaluationTeam}}{{specialist.name}} ({{specialist.professionalTitle}})</w:t>
      </w:r>
    </w:p>
    <w:tbl>
      <w:tblPr>
        <w:tblW w:w="5000" w:type="pct"/>
        <w:jc w:val="left"/>
        <w:tblInd w:w="55" w:type="dxa"/>
        <w:tblLayout w:type="fixed"/>
        <w:tblCellMar>
          <w:top w:w="55" w:type="dxa"/>
          <w:left w:w="55" w:type="dxa"/>
          <w:bottom w:w="55" w:type="dxa"/>
          <w:right w:w="55" w:type="dxa"/>
        </w:tblCellMar>
      </w:tblPr>
      <w:tblGrid>
        <w:gridCol w:w="1368"/>
        <w:gridCol w:w="1484"/>
        <w:gridCol w:w="2852"/>
        <w:gridCol w:w="1141"/>
        <w:gridCol w:w="855"/>
        <w:gridCol w:w="913"/>
        <w:gridCol w:w="742"/>
      </w:tblGrid>
      <w:tr>
        <w:trPr>
          <w:tblHeader w:val="true"/>
          <w:cantSplit/>
        </w:trPr>
        <w:tc>
          <w:tcPr>
            <w:tcW w:w="1368"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Componenta sistemului de muncă</w:t>
            </w:r>
          </w:p>
        </w:tc>
        <w:tc>
          <w:tcPr>
            <w:tcW w:w="148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Factori de risc identificați</w:t>
            </w:r>
          </w:p>
        </w:tc>
        <w:tc>
          <w:tcPr>
            <w:tcW w:w="2852"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Forma concretă de manifestare a factorilor de risc (descriere, parametri)</w:t>
            </w:r>
          </w:p>
        </w:tc>
        <w:tc>
          <w:tcPr>
            <w:tcW w:w="114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Consecința maximă previzibilă</w:t>
            </w:r>
          </w:p>
        </w:tc>
        <w:tc>
          <w:tcPr>
            <w:tcW w:w="855"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Clasa de gravitate</w:t>
            </w:r>
          </w:p>
        </w:tc>
        <w:tc>
          <w:tcPr>
            <w:tcW w:w="913"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Clasa de probabi-litate</w:t>
            </w:r>
          </w:p>
        </w:tc>
        <w:tc>
          <w:tcPr>
            <w:tcW w:w="74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Nivel de risc</w:t>
            </w:r>
          </w:p>
        </w:tc>
      </w:tr>
      <w:tr>
        <w:trPr>
          <w:cantSplit/>
        </w:trPr>
        <w:tc>
          <w:tcPr>
            <w:tcW w:w="136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{{#sheet}}{{component}}</w:t>
            </w:r>
          </w:p>
        </w:tc>
        <w:tc>
          <w:tcPr>
            <w:tcW w:w="1484"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{{group}}</w:t>
            </w:r>
          </w:p>
        </w:tc>
        <w:tc>
          <w:tcPr>
            <w:tcW w:w="2852"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{{code}}. {{description}}</w:t>
            </w:r>
          </w:p>
        </w:tc>
        <w:tc>
          <w:tcPr>
            <w:tcW w:w="1141"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{{consequence}}</w:t>
            </w:r>
          </w:p>
        </w:tc>
        <w:tc>
          <w:tcPr>
            <w:tcW w:w="855"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{{gravityClass}}</w:t>
            </w:r>
          </w:p>
        </w:tc>
        <w:tc>
          <w:tcPr>
            <w:tcW w:w="913"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{{probabilityClass}}</w:t>
            </w:r>
          </w:p>
        </w:tc>
        <w:tc>
          <w:tcPr>
            <w:tcW w:w="74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{{level}}{{/sheet}}</w:t>
            </w:r>
          </w:p>
        </w:tc>
      </w:tr>
    </w:tbl>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IV. FIȘA DE MĂSURI PROPUSE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{{#noPlan}}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Nu au fost stabilite măsuri de prevenire: niciun factor de risc identificat nu depășește nivelul de risc 3.</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{{/noPlan}}</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{{#hasPlan}}</w:t>
      </w:r>
    </w:p>
    <w:tbl>
      <w:tblPr>
        <w:tblW w:w="5000" w:type="pct"/>
        <w:jc w:val="left"/>
        <w:tblInd w:w="55" w:type="dxa"/>
        <w:tblLayout w:type="fixed"/>
        <w:tblCellMar>
          <w:top w:w="55" w:type="dxa"/>
          <w:left w:w="55" w:type="dxa"/>
          <w:bottom w:w="55" w:type="dxa"/>
          <w:right w:w="55" w:type="dxa"/>
        </w:tblCellMar>
      </w:tblPr>
      <w:tblGrid>
        <w:gridCol w:w="719"/>
        <w:gridCol w:w="3358"/>
        <w:gridCol w:w="960"/>
        <w:gridCol w:w="4318"/>
      </w:tblGrid>
      <w:tr>
        <w:trPr>
          <w:tblHeader w:val="true"/>
          <w:cantSplit/>
        </w:trPr>
        <w:tc>
          <w:tcPr>
            <w:tcW w:w="71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358"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Factorul de risc</w:t>
            </w:r>
          </w:p>
        </w:tc>
        <w:tc>
          <w:tcPr>
            <w:tcW w:w="96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 de risc</w:t>
            </w:r>
          </w:p>
        </w:tc>
        <w:tc>
          <w:tcPr>
            <w:tcW w:w="4318"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Măsuri propuse (nominalizarea măsurii)</w:t>
            </w:r>
          </w:p>
        </w:tc>
      </w:tr>
      <w:tr>
        <w:trPr>
          <w:cantSplit/>
        </w:trPr>
        <w:tc>
          <w:tcPr>
            <w:tcW w:w="7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{{#plan}}{{$index}}.</w:t>
            </w:r>
          </w:p>
        </w:tc>
        <w:tc>
          <w:tcPr>
            <w:tcW w:w="335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{{code}}. {{description}}</w:t>
            </w:r>
          </w:p>
        </w:tc>
        <w:tc>
          <w:tcPr>
            <w:tcW w:w="96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{{level}}</w:t>
            </w:r>
          </w:p>
        </w:tc>
        <w:tc>
          <w:tcPr>
            <w:tcW w:w="4318"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{{measures}}{{/plan}}</w:t>
            </w:r>
          </w:p>
        </w:tc>
      </w:tr>
    </w:tbl>
    <w:p>
      <w:pPr>
        <w:pStyle w:val="Normal"/>
        <w:keepNext w:val="false"/>
        <w:pageBreakBefore w:val="false"/>
        <w:widowControl/>
        <w:numPr>
          <w:ilvl w:val="0"/>
          <w:numId w:val="0"/>
        </w:numPr>
        <w:spacing w:before="12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{{/hasPlan}}</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 INTERPRETAREA REZULTATELOR EVALUĂRII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V.1. Ierarhizarea riscurilor evaluate</w:t>
      </w:r>
    </w:p>
    <w:tbl>
      <w:tblPr>
        <w:tblW w:w="5000" w:type="pct"/>
        <w:jc w:val="left"/>
        <w:tblInd w:w="55" w:type="dxa"/>
        <w:tblLayout w:type="fixed"/>
        <w:tblCellMar>
          <w:top w:w="55" w:type="dxa"/>
          <w:left w:w="55" w:type="dxa"/>
          <w:bottom w:w="55" w:type="dxa"/>
          <w:right w:w="55" w:type="dxa"/>
        </w:tblCellMar>
      </w:tblPr>
      <w:tblGrid>
        <w:gridCol w:w="810"/>
        <w:gridCol w:w="974"/>
        <w:gridCol w:w="6489"/>
        <w:gridCol w:w="1082"/>
      </w:tblGrid>
      <w:tr>
        <w:trPr>
          <w:tblHeader w:val="true"/>
          <w:cantSplit/>
        </w:trPr>
        <w:tc>
          <w:tcPr>
            <w:tcW w:w="81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97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Cod risc</w:t>
            </w:r>
          </w:p>
        </w:tc>
        <w:tc>
          <w:tcPr>
            <w:tcW w:w="648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Forma concretă de manifestare a factorilor de risc</w:t>
            </w:r>
          </w:p>
        </w:tc>
        <w:tc>
          <w:tcPr>
            <w:tcW w:w="108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 de risc</w:t>
            </w:r>
          </w:p>
        </w:tc>
      </w:tr>
      <w:tr>
        <w:trPr>
          <w:cantSplit/>
        </w:trPr>
        <w:tc>
          <w:tcPr>
            <w:tcW w:w="8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{{#ranked}}{{$index}}.</w:t>
            </w:r>
          </w:p>
        </w:tc>
        <w:tc>
          <w:tcPr>
            <w:tcW w:w="974"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{{code}}</w:t>
            </w:r>
          </w:p>
        </w:tc>
        <w:tc>
          <w:tcPr>
            <w:tcW w:w="648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{{description}}</w:t>
            </w:r>
          </w:p>
        </w:tc>
        <w:tc>
          <w:tcPr>
            <w:tcW w:w="108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{{level}}{{/ranked}}</w:t>
            </w:r>
          </w:p>
        </w:tc>
      </w:tr>
    </w:tbl>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V.2. Nivelul de risc global al locului de muncă</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Nivelul de risc global (Nr) este media ponderată a nivelurilor de risc ale factorilor identificați, rangul fiecărui factor fiind egal cu nivelul său de risc, după formula prezentată în capitolul II: Nr = Σ (ri × Ri) / Σ ri.</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Nivelul de risc global calculat pentru „{{name}}” este egal cu {{globalLevel}}, {{verdict}}.</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{{findings}}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{{#hasUnacceptable}}</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{{unacceptableLead}}</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w:t>
      </w:r>
    </w:p>
    <w:p>
      <w:pPr>
        <w:pStyle w:val="Normal"/>
        <w:keepNext w:val="fals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{{code}} – {{description}}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{{measuresSentence}}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{{/hasUnacceptable}}</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V.3. Ponderea factorilor de risc identificați după elementele sistemului de muncă</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În ceea ce privește repartiția factorilor de risc pe sursele generatoare, situația se prezintă după cum urmează:</w:t>
      </w:r>
    </w:p>
    <w:tbl>
      <w:tblPr>
        <w:tblW w:w="5000" w:type="pct"/>
        <w:jc w:val="left"/>
        <w:tblInd w:w="55" w:type="dxa"/>
        <w:tblLayout w:type="fixed"/>
        <w:tblCellMar>
          <w:top w:w="55" w:type="dxa"/>
          <w:left w:w="55" w:type="dxa"/>
          <w:bottom w:w="55" w:type="dxa"/>
          <w:right w:w="55" w:type="dxa"/>
        </w:tblCellMar>
      </w:tblPr>
      <w:tblGrid>
        <w:gridCol w:w="4677"/>
        <w:gridCol w:w="2339"/>
        <w:gridCol w:w="2339"/>
      </w:tblGrid>
      <w:tr>
        <w:trPr>
          <w:tblHeader w:val="true"/>
        </w:trPr>
        <w:tc>
          <w:tcPr>
            <w:tcW w:w="4677"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Componenta sistemului de muncă</w:t>
            </w:r>
          </w:p>
        </w:tc>
        <w:tc>
          <w:tcPr>
            <w:tcW w:w="233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Număr de factori de risc</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Ponderea</w:t>
            </w:r>
          </w:p>
        </w:tc>
      </w:tr>
      <w:tr>
        <w:trPr/>
        <w:tc>
          <w:tcPr>
            <w:tcW w:w="4677"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{{#components}}{{label}}</w:t>
            </w:r>
          </w:p>
        </w:tc>
        <w:tc>
          <w:tcPr>
            <w:tcW w:w="233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{{count}}</w:t>
            </w:r>
          </w:p>
        </w:tc>
        <w:tc>
          <w:tcPr>
            <w:tcW w:w="233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{{share}}{{/components}}</w:t>
            </w:r>
          </w:p>
        </w:tc>
      </w:tr>
      <w:tr>
        <w:trPr/>
        <w:tc>
          <w:tcPr>
            <w:tcW w:w="4677" w:type="dxa"/>
            <w:tcBorders>
              <w:left w:val="single" w:sz="4" w:space="0" w:color="000000"/>
              <w:bottom w:val="single" w:sz="4" w:space="0" w:color="000000"/>
            </w:tcBorders>
            <w:vAlign w:val="center"/>
          </w:tcPr>
          <w:p>
            <w:pPr>
              <w:pStyle w:val="TableContents"/>
              <w:keepNext/>
              <w:widowControl/>
              <w:spacing w:before="0" w:after="0"/>
              <w:ind w:hanging="0" w:left="0"/>
              <w:jc w:val="left"/>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TOTAL</w:t>
            </w:r>
          </w:p>
        </w:tc>
        <w:tc>
          <w:tcPr>
            <w:tcW w:w="2339" w:type="dxa"/>
            <w:tcBorders>
              <w:left w:val="single" w:sz="4" w:space="0" w:color="000000"/>
              <w:bottom w:val="single" w:sz="4" w:space="0" w:color="000000"/>
            </w:tcBorders>
            <w:vAlign w:val="center"/>
          </w:tcPr>
          <w:p>
            <w:pPr>
              <w:pStyle w:val="TableContents"/>
              <w:keepNext/>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{{factorCount}}</w:t>
            </w:r>
          </w:p>
        </w:tc>
        <w:tc>
          <w:tcPr>
            <w:tcW w:w="2339" w:type="dxa"/>
            <w:tcBorders>
              <w:left w:val="single" w:sz="4" w:space="0" w:color="000000"/>
              <w:bottom w:val="single" w:sz="4" w:space="0" w:color="000000"/>
              <w:right w:val="single" w:sz="4" w:space="0" w:color="000000"/>
            </w:tcBorders>
            <w:vAlign w:val="center"/>
          </w:tcPr>
          <w:p>
            <w:pPr>
              <w:pStyle w:val="TableContents"/>
              <w:keepNext/>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r>
    </w:tbl>
    <w:p>
      <w:pPr>
        <w:pStyle w:val="Normal"/>
        <w:keepNext w:val="false"/>
        <w:widowControl/>
        <w:numPr>
          <w:ilvl w:val="0"/>
          <w:numId w:val="0"/>
        </w:numPr>
        <w:spacing w:before="12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{{irreversible}}</w:t>
      </w:r>
      <w:r>
        <w:br w:type="page"/>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{{/riskAssessment.evaluations}}</w:t>
      </w:r>
    </w:p>
    <w:p>
      <w:pPr>
        <w:pStyle w:val="Normal"/>
        <w:keepNext w:val="true"/>
        <w:widowControl/>
        <w:tabs>
          <w:tab w:val="clear" w:pos="720"/>
          <w:tab w:val="left" w:pos="3930" w:leader="none"/>
        </w:tabs>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VI. CONCLUZII GENERALE</w:t>
      </w:r>
    </w:p>
    <w:p>
      <w:pPr>
        <w:pStyle w:val="Normal"/>
        <w:widowControl/>
        <w:tabs>
          <w:tab w:val="clear" w:pos="720"/>
          <w:tab w:val="left" w:pos="3930" w:leader="none"/>
          <w:tab w:val="center" w:pos="4765" w:leader="none"/>
        </w:tabs>
        <w:spacing w:before="0" w:after="0"/>
        <w:ind w:hanging="0"/>
        <w:jc w:val="left"/>
        <w:rPr>
          <w:rFonts w:ascii="Arial" w:hAnsi="Arial" w:cs="Arial"/>
          <w:sz w:val="2"/>
          <w:szCs w:val="18"/>
          <w:vertAlign w:val="superscript"/>
        </w:rPr>
      </w:pPr>
      <w:r>
        <w:rPr>
          <w:rFonts w:eastAsia="Arial" w:cs="Arial" w:ascii="Arial" w:hAnsi="Arial"/>
          <w:color w:val="auto"/>
          <w:spacing w:val="0"/>
          <w:w w:val="100"/>
          <w:sz w:val="2"/>
          <w:szCs w:val="20"/>
          <w:lang w:val="ro-RO"/>
        </w:rPr>
      </w:r>
    </w:p>
    <w:p>
      <w:pPr>
        <w:pStyle w:val="Normal"/>
        <w:keepNext w:val="true"/>
        <w:widowControl/>
        <w:tabs>
          <w:tab w:val="clear" w:pos="720"/>
          <w:tab w:val="left" w:pos="3930" w:leader="none"/>
          <w:tab w:val="center" w:pos="4765" w:leader="none"/>
        </w:tabs>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VI.I. CONCLUZIILE EVALUĂRII</w:t>
      </w:r>
    </w:p>
    <w:p>
      <w:pPr>
        <w:pStyle w:val="Normal"/>
        <w:widowControl/>
        <w:tabs>
          <w:tab w:val="clear" w:pos="720"/>
          <w:tab w:val="left" w:pos="3930" w:leader="none"/>
          <w:tab w:val="center" w:pos="4765"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tabs>
          <w:tab w:val="clear" w:pos="720"/>
          <w:tab w:val="left" w:pos="393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Lucrarea s-a realizat potrivit prevederilor legislației de securitate și sănătate în muncă în vigoare referitoare la obligația conducerii agenților economici de a stabili factorii de risc și a evalua nivelul riscului de accidentare în vederea asigurării măsurilor de prevenire a accidentelor și îmbolnăvirilor profesionale și alocării fondurilor necesare reducerii acestora.</w:t>
      </w:r>
    </w:p>
    <w:p>
      <w:pPr>
        <w:pStyle w:val="Normal"/>
        <w:widowControl/>
        <w:tabs>
          <w:tab w:val="clear" w:pos="720"/>
          <w:tab w:val="left" w:pos="393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Accidentele de muncă sunt evenimente aleatorii, fiind rezultatul unor disfuncții ale componentelor sistemului de muncă (mijloace de muncă, mediu de muncă, sarcina de muncă, executant), care interacționează și se influențează reciproc.</w:t>
      </w:r>
    </w:p>
    <w:p>
      <w:pPr>
        <w:pStyle w:val="Normal"/>
        <w:widowControl/>
        <w:tabs>
          <w:tab w:val="clear" w:pos="720"/>
          <w:tab w:val="left" w:pos="36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Abaterile de la funcționarea optimă a sistemului conduc la vătămarea organismului uman numai când se constituie un lanț cauzal (din cel puțin două elemente, unul obiectiv și altul subiectiv), a cărui ultimă verigă este impactul între persoană și agentul material care o lezează. Din acest motiv, disfuncțiile elementelor sistemului de muncă sunt considerate cauze potențiale de accidentare, respectiv factori de risc.</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Acțiunea factorilor de risc devine pericol efectiv pentru executant prin transformarea acestora din posibilitate în realitate.</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Se menționează că nu este posibilă o delimitare riguroasă între factorii de risc de accidentare și factorii de risc de îmbolnăvire profesională, diferența fiind numai nivelul și durata de expunere a organismului, astfel încât un factor de îmbolnăvire poate deveni factor de accidentare și invers. Metoda utilizată a urmărit identificarea factorilor de risc la locurile de muncă cu pericol de accidentare / îmbolnăviri profesionale pentru activitățile analizate, în vederea stabilirii nivelului de risc atât pentru fiecare loc de muncă, cât și la nivel de unitate, prin cuantificarea și ierarhizarea riscurilor de accidentare pentru cunoașterea acestora de către toți salariații de la locul de muncă respectiv.</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Analiza s-a făcut prin examinarea tuturor activităților declarate de angajator că se desfășoară în cadrul {{client.legalName}}, ținându-se seama de situația existentă la data evaluării (metode de lucru, personal existent, dotare, condiții de mediu, dotare tehnică, istoric evenimente etc.).</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Odată identificate principalele riscuri de accidentare, acestea au fost ierarhizate (în funcție de valoarea nivelului de risc) pentru a putea fi urmărite și asigurate condițiile și măsurile necesare înlăturării sau reducerii acestora.</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Lucrarea de față conține evaluarea riscurilor de accidentare și îmbolnăvire profesională pentru {{riskAssessment.evaluationCountText}} din cadrul {{client.legalName}}, în conformitate cu prevederile legale.</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S-a realizat prin aplicarea metodei I.N.C.D.P.M. de evaluare a riscurilor de accidentare și îmbolnăvire profesională pe loc de muncă avizată de Ministerul Muncii și Solidarității Sociale în anul 1993.</w:t>
      </w:r>
    </w:p>
    <w:p>
      <w:pPr>
        <w:pStyle w:val="Normal"/>
        <w:widowControl/>
        <w:tabs>
          <w:tab w:val="clear" w:pos="720"/>
          <w:tab w:val="left" w:pos="36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20"/>
        </w:rPr>
      </w:pPr>
      <w:r>
        <w:rPr>
          <w:rFonts w:eastAsia="Arial" w:cs="Arial" w:ascii="Arial" w:hAnsi="Arial"/>
          <w:b/>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SUBCAPITOLUL VI.II. RECOMANDĂRI</w:t>
      </w:r>
    </w:p>
    <w:p>
      <w:pPr>
        <w:pStyle w:val="Normal"/>
        <w:keepNext w:val="true"/>
        <w:widowControl/>
        <w:spacing w:before="0" w:after="0"/>
        <w:ind w:hanging="0"/>
        <w:jc w:val="left"/>
        <w:rPr>
          <w:rFonts w:ascii="Arial" w:hAnsi="Arial" w:cs="Arial"/>
          <w:sz w:val="2"/>
          <w:szCs w:val="18"/>
          <w:vertAlign w:val="superscript"/>
        </w:rPr>
      </w:pPr>
      <w:r>
        <w:rPr>
          <w:rFonts w:eastAsia="Arial" w:cs="Arial" w:ascii="Arial" w:hAnsi="Arial"/>
          <w:color w:val="auto"/>
          <w:spacing w:val="0"/>
          <w:w w:val="100"/>
          <w:sz w:val="2"/>
          <w:szCs w:val="20"/>
          <w:vertAlign w:val="superscript"/>
          <w:lang w:val="ro-RO"/>
        </w:rPr>
      </w:r>
    </w:p>
    <w:p>
      <w:pPr>
        <w:pStyle w:val="Normal"/>
        <w:keepNext w:val="fals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MĂSURI CU CARACTER GENERAL PROPUSE PENTRU TOATE LOCURILE DE MUNCĂ</w:t>
      </w:r>
    </w:p>
    <w:p>
      <w:pPr>
        <w:pStyle w:val="Normal"/>
        <w:keepNext w:val="fals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 xml:space="preserve">Însușirea și respectarea normelor de protecție a muncii și a măsurilor de aplicare a acestora;</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Desfășurarea activităților în așa fel încât să nu expună la pericol de accidentare sau îmbolnăvire profesională atât propria persoană, cât și pe celelalte persoane participante la procesul de muncă;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Aducerea la cunoștință a conducătorului locului de muncă despre orice defecțiune tehnică sau altă situație care constituie un pericol de accidentare sau îmbolnăvire profesională;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Înștiințarea conducătorului locului de muncă despre accidentele de muncă suferite de propria persoană și de alte persoane participante la procesul de muncă;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Oprirea lucrului la apariția unui pericol iminent de producere a unui accident și informarea de îndată a conducătorului locului de muncă;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Utilizarea echipamentului individual de protecție din dotare, corespunzător scopului pentru care a fost acordat.</w:t>
      </w:r>
    </w:p>
    <w:p>
      <w:pPr>
        <w:pStyle w:val="Normal"/>
        <w:keepNext w:val="fals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fals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0" w:after="40"/>
        <w:ind w:left="360"/>
        <w:jc w:val="left"/>
        <w:rPr>
          <w:rFonts w:ascii="Arial" w:hAnsi="Arial" w:cs="Arial"/>
          <w:b/>
          <w:sz w:val="18"/>
          <w:szCs w:val="18"/>
        </w:rPr>
      </w:pPr>
      <w:r>
        <w:rPr>
          <w:rFonts w:eastAsia="Arial" w:cs="Arial" w:ascii="Arial" w:hAnsi="Arial"/>
          <w:b/>
          <w:color w:val="auto"/>
          <w:spacing w:val="0"/>
          <w:w w:val="100"/>
          <w:sz w:val="20"/>
          <w:szCs w:val="20"/>
          <w:lang w:val="ro-RO"/>
        </w:rPr>
        <w:t>LA NIVELUL UNITĂȚII SE VOR AVEA ÎN VEDERE URMĂTOARELE:</w:t>
      </w:r>
    </w:p>
    <w:p>
      <w:pPr>
        <w:pStyle w:val="Normal"/>
        <w:keepNext w:val="tru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 xml:space="preserve">Completarea semnalizării de securitate și/ sau sănătate în muncă: marcarea prizelor, marcarea tablourilor, marcarea elementelor electrice, marcarea căilor de acces;</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Efectuarea periodică a verificărilor PRAM;</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Acordarea de materiale igienico-sanitare pentru toate categoriile de salariați corespunzător activității desfășurate;</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 xml:space="preserve">Acordarea facilităților prevăzute de legislația în vigoare în cazul temperaturilor extreme: perioada caldă (apă minerală adecvată, câte 2 - 4 litri/ persoană/ schimb); perioada rece (ceai fierbinte, în cantitate de 0,5 - 1 litru/ persoană/ schimb);</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Verificarea termenului de valabilitate al stingătoarelor, încărcarea și repararea acestora (la centre specializate) ori de câte ori este nevoie;</w:t>
      </w:r>
    </w:p>
    <w:p>
      <w:pPr>
        <w:pStyle w:val="Normal"/>
        <w:keepNext w:val="false"/>
        <w:widowControl/>
        <w:numPr>
          <w:ilvl w:val="0"/>
          <w:numId w:val="36"/>
        </w:numPr>
        <w:spacing w:before="0" w:after="40"/>
        <w:jc w:val="left"/>
        <w:rPr>
          <w:rFonts w:ascii="Arial" w:hAnsi="Arial" w:cs="Arial"/>
          <w:b/>
          <w:sz w:val="18"/>
          <w:szCs w:val="18"/>
          <w:vertAlign w:val="superscript"/>
        </w:rPr>
      </w:pPr>
      <w:r>
        <w:rPr>
          <w:rFonts w:eastAsia="Arial" w:cs="Arial" w:ascii="Arial" w:hAnsi="Arial"/>
          <w:color w:val="auto"/>
          <w:spacing w:val="0"/>
          <w:w w:val="100"/>
          <w:sz w:val="20"/>
          <w:szCs w:val="20"/>
          <w:lang w:val="ro-RO"/>
        </w:rPr>
        <w:t xml:space="preserve">Elaborarea planului de prevenire și protecție.</w:t>
      </w:r>
    </w:p>
    <w:p>
      <w:pPr>
        <w:pStyle w:val="Normal"/>
        <w:keepNext w:val="false"/>
        <w:widowControl/>
        <w:tabs>
          <w:tab w:val="clear" w:pos="720"/>
          <w:tab w:val="left" w:pos="2700" w:leader="none"/>
        </w:tabs>
        <w:spacing w:before="0" w:after="0"/>
        <w:ind w:hanging="0"/>
        <w:jc w:val="left"/>
        <w:rPr>
          <w:rFonts w:ascii="Arial" w:hAnsi="Arial" w:cs="Arial"/>
          <w:b/>
          <w:sz w:val="2"/>
          <w:szCs w:val="18"/>
          <w:vertAlign w:val="superscript"/>
        </w:rPr>
      </w:pPr>
      <w:r>
        <w:rPr>
          <w:rFonts w:eastAsia="Arial" w:cs="Arial" w:ascii="Arial" w:hAnsi="Arial"/>
          <w:b/>
          <w:color w:val="auto"/>
          <w:spacing w:val="0"/>
          <w:w w:val="100"/>
          <w:sz w:val="2"/>
          <w:szCs w:val="20"/>
          <w:vertAlign w:val="superscript"/>
          <w:lang w:val="ro-RO"/>
        </w:rPr>
      </w:r>
    </w:p>
    <w:p>
      <w:pPr>
        <w:pStyle w:val="Normal"/>
        <w:keepNext w:val="false"/>
        <w:widowControl/>
        <w:tabs>
          <w:tab w:val="clear" w:pos="720"/>
          <w:tab w:val="left" w:pos="2700" w:leader="none"/>
        </w:tabs>
        <w:spacing w:before="0" w:after="0"/>
        <w:ind w:hanging="0"/>
        <w:jc w:val="left"/>
        <w:rPr>
          <w:rFonts w:ascii="Arial" w:hAnsi="Arial" w:cs="Arial"/>
          <w:b/>
          <w:sz w:val="2"/>
          <w:szCs w:val="18"/>
          <w:vertAlign w:val="superscript"/>
        </w:rPr>
      </w:pPr>
      <w:r>
        <w:rPr>
          <w:rFonts w:eastAsia="Arial" w:cs="Arial" w:ascii="Arial" w:hAnsi="Arial"/>
          <w:b/>
          <w:color w:val="auto"/>
          <w:spacing w:val="0"/>
          <w:w w:val="100"/>
          <w:sz w:val="2"/>
          <w:szCs w:val="20"/>
          <w:vertAlign w:val="superscript"/>
          <w:lang w:val="ro-RO"/>
        </w:rPr>
      </w:r>
    </w:p>
    <w:p>
      <w:pPr>
        <w:pStyle w:val="Normal"/>
        <w:keepNext w:val="fals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pageBreakBefore w:val="false"/>
        <w:widowControl/>
        <w:numPr>
          <w:ilvl w:val="0"/>
          <w:numId w:val="0"/>
        </w:numPr>
        <w:spacing w:before="24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NIVELURILE DE RISC GLOBAL ALE LOCURILOR DE MUNCĂ EVALUATE</w:t>
      </w:r>
    </w:p>
    <w:tbl>
      <w:tblPr>
        <w:tblW w:w="5000" w:type="pct"/>
        <w:jc w:val="left"/>
        <w:tblInd w:w="55" w:type="dxa"/>
        <w:tblLayout w:type="fixed"/>
        <w:tblCellMar>
          <w:top w:w="55" w:type="dxa"/>
          <w:left w:w="55" w:type="dxa"/>
          <w:bottom w:w="55" w:type="dxa"/>
          <w:right w:w="55" w:type="dxa"/>
        </w:tblCellMar>
      </w:tblPr>
      <w:tblGrid>
        <w:gridCol w:w="877"/>
        <w:gridCol w:w="6430"/>
        <w:gridCol w:w="2048"/>
      </w:tblGrid>
      <w:tr>
        <w:trPr>
          <w:tblHeader w:val="true"/>
        </w:trPr>
        <w:tc>
          <w:tcPr>
            <w:tcW w:w="87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643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Locul de muncă / postul de lucru</w:t>
            </w:r>
          </w:p>
        </w:tc>
        <w:tc>
          <w:tcPr>
            <w:tcW w:w="2048"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Nivelul de risc global</w:t>
            </w:r>
          </w:p>
        </w:tc>
      </w:tr>
      <w:tr>
        <w:trPr/>
        <w:tc>
          <w:tcPr>
            <w:tcW w:w="87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{{#riskAssessment.evaluations}}{{$index}}.</w:t>
            </w:r>
          </w:p>
        </w:tc>
        <w:tc>
          <w:tcPr>
            <w:tcW w:w="6430"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{{name}}</w:t>
            </w:r>
          </w:p>
        </w:tc>
        <w:tc>
          <w:tcPr>
            <w:tcW w:w="204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{{globalLevel}}{{/riskAssessment.evaluations}}</w:t>
            </w:r>
          </w:p>
        </w:tc>
      </w:tr>
    </w:tbl>
    <w:p>
      <w:pPr>
        <w:pStyle w:val="Normal"/>
        <w:keepNext w:val="false"/>
        <w:pageBreakBefore w:val="false"/>
        <w:widowControl/>
        <w:numPr>
          <w:ilvl w:val="0"/>
          <w:numId w:val="0"/>
        </w:numPr>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Nivelul de risc global pe unitate (Nrg) este media ponderată a nivelurilor de risc global ale locurilor de muncă evaluate, rangul fiecărui loc de muncă fiind egal cu nivelul său de risc global: Nrg = Σ (Nrgi × Nrgi) / Σ Nrgi.</w:t>
      </w:r>
    </w:p>
    <w:p>
      <w:pPr>
        <w:pStyle w:val="Normal"/>
        <w:keepNext w:val="false"/>
        <w:pageBreakBefore w:val="false"/>
        <w:widowControl/>
        <w:numPr>
          <w:ilvl w:val="0"/>
          <w:numId w:val="0"/>
        </w:numPr>
        <w:spacing w:before="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Nrg = {{riskAssessment.globalLevel}}</w:t>
      </w:r>
    </w:p>
    <w:p>
      <w:pPr>
        <w:pStyle w:val="Normal"/>
        <w:keepNext w:val="true"/>
        <w:pageBreakBefore w:val="false"/>
        <w:widowControl/>
        <w:numPr>
          <w:ilvl w:val="0"/>
          <w:numId w:val="0"/>
        </w:numPr>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SUBCAPITOLUL VI.III. CONSULTAREA LUCRĂTORILOR ȘI REVIZUIREA EVALUĂRII</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Lucrătorii au fost consultați și au participat la evaluarea riscurilor, potrivit art. 18 din Legea nr. 319/2006: la fiecare loc de muncă evaluat au fost discutate cu ei activitățile desfășurate, echipamentele de muncă utilizate și condițiile de muncă, iar observațiile lor au fost luate în considerare la identificarea factorilor de risc.</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Consultarea s-a făcut direct cu lucrătorii și, acolo unde au fost desemnați, prin reprezentanții lucrătorilor cu răspunderi specifice în domeniul securității și sănătății lucrătorilor.</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{{#workersRepresentatives}}</w:t>
      </w:r>
    </w:p>
    <w:p>
      <w:pPr>
        <w:pStyle w:val="Normal"/>
        <w:keepNext w:val="fals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Reprezentant al lucrătorilor cu răspunderi specifice în domeniul securității și sănătății lucrătorilor: {{name}}, {{jobTitle}}.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{{/workersRepresentatives}}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Evaluarea riscurilor se revizuiește, împreună cu planul de prevenire și protecție care decurge din ea, ori de câte ori intervin modificări ale condițiilor de muncă, respectiv la apariția unor riscuri noi și în urma producerii unui eveniment (art. 15 alin. (3) și art. 46 alin. (1) din H.G. nr. 1425/2006).</w:t>
      </w:r>
    </w:p>
    <w:sectPr>
      <w:headerReference w:type="even" r:id="rId26"/>
      <w:headerReference w:type="default" r:id="rId27"/>
      <w:headerReference w:type="first" r:id="rId28"/>
      <w:footerReference w:type="even" r:id="rId29"/>
      <w:footerReference w:type="default" r:id="rId30"/>
      <w:footerReference w:type="first" r:id="rId31"/>
      <w:footnotePr>
        <w:numFmt w:val="decimal"/>
      </w:footnotePr>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alibri">
    <w:charset w:val="01"/>
    <w:family w:val="swiss"/>
    <w:pitch w:val="variable"/>
  </w:font>
  <w:font w:name="Segoe UI">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w:charset w:val="01"/>
    <w:family w:val="roman"/>
    <w:pitch w:val="variable"/>
  </w:font>
  <w:font w:name="Arial Black">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Arial">
    <w:charset w:val="01"/>
    <w:family w:val="swiss"/>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rFonts w:ascii="Arial" w:hAnsi="Arial" w:cs="Arial"/>
          <w:lang w:val="it-IT"/>
        </w:rPr>
      </w:pPr>
      <w:r>
        <w:rPr>
          <w:rStyle w:val="FootnoteCharacters"/>
        </w:rPr>
        <w:footnoteRef/>
      </w:r>
      <w:r>
        <w:rPr>
          <w:rFonts w:cs="Arial" w:ascii="Arial" w:hAnsi="Arial"/>
        </w:rPr>
        <w:t>Sursa: Dicționarul explicativ al limbii române, editat sub egida Academiei României</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420"/>
        </w:tabs>
        <w:ind w:left="420" w:hanging="420"/>
      </w:pPr>
      <w:rPr/>
    </w:lvl>
    <w:lvl w:ilvl="1">
      <w:start w:val="1"/>
      <w:numFmt w:val="decimal"/>
      <w:lvlText w:val="%1.%2."/>
      <w:lvlJc w:val="left"/>
      <w:pPr>
        <w:tabs>
          <w:tab w:val="num" w:pos="720"/>
        </w:tabs>
        <w:ind w:left="720" w:hanging="360"/>
      </w:pPr>
      <w:rPr/>
    </w:lvl>
    <w:lvl w:ilvl="2">
      <w:start w:val="1"/>
      <w:numFmt w:val="decimal"/>
      <w:lvlText w:val="%1.%2.%3."/>
      <w:lvlJc w:val="left"/>
      <w:pPr>
        <w:tabs>
          <w:tab w:val="num" w:pos="720"/>
        </w:tabs>
        <w:ind w:left="720" w:hanging="720"/>
      </w:pPr>
      <w:rPr/>
    </w:lvl>
    <w:lvl w:ilvl="3">
      <w:start w:val="1"/>
      <w:numFmt w:val="decimal"/>
      <w:lvlText w:val="%1.%2.%3.%4."/>
      <w:lvlJc w:val="left"/>
      <w:pPr>
        <w:tabs>
          <w:tab w:val="num" w:pos="1080"/>
        </w:tabs>
        <w:ind w:left="1080" w:hanging="1080"/>
      </w:pPr>
      <w:rPr/>
    </w:lvl>
    <w:lvl w:ilvl="4">
      <w:start w:val="1"/>
      <w:numFmt w:val="decimal"/>
      <w:lvlText w:val="%1.%2.%3.%4.%5."/>
      <w:lvlJc w:val="left"/>
      <w:pPr>
        <w:tabs>
          <w:tab w:val="num" w:pos="1080"/>
        </w:tabs>
        <w:ind w:left="1080" w:hanging="1080"/>
      </w:pPr>
      <w:rPr/>
    </w:lvl>
    <w:lvl w:ilvl="5">
      <w:start w:val="1"/>
      <w:numFmt w:val="decimal"/>
      <w:lvlText w:val="%1.%2.%3.%4.%5.%6."/>
      <w:lvlJc w:val="left"/>
      <w:pPr>
        <w:tabs>
          <w:tab w:val="num" w:pos="1440"/>
        </w:tabs>
        <w:ind w:left="1440" w:hanging="1440"/>
      </w:pPr>
      <w:rPr/>
    </w:lvl>
    <w:lvl w:ilvl="6">
      <w:start w:val="1"/>
      <w:numFmt w:val="decimal"/>
      <w:lvlText w:val="%1.%2.%3.%4.%5.%6.%7."/>
      <w:lvlJc w:val="left"/>
      <w:pPr>
        <w:tabs>
          <w:tab w:val="num" w:pos="1440"/>
        </w:tabs>
        <w:ind w:left="1440" w:hanging="1440"/>
      </w:pPr>
      <w:rPr/>
    </w:lvl>
    <w:lvl w:ilvl="7">
      <w:start w:val="1"/>
      <w:numFmt w:val="decimal"/>
      <w:lvlText w:val="%1.%2.%3.%4.%5.%6.%7.%8."/>
      <w:lvlJc w:val="left"/>
      <w:pPr>
        <w:tabs>
          <w:tab w:val="num" w:pos="1800"/>
        </w:tabs>
        <w:ind w:left="1800" w:hanging="1800"/>
      </w:pPr>
      <w:rPr/>
    </w:lvl>
    <w:lvl w:ilvl="8">
      <w:start w:val="1"/>
      <w:numFmt w:val="decimal"/>
      <w:lvlText w:val="%1.%2.%3.%4.%5.%6.%7.%8.%9."/>
      <w:lvlJc w:val="left"/>
      <w:pPr>
        <w:tabs>
          <w:tab w:val="num" w:pos="1800"/>
        </w:tabs>
        <w:ind w:left="1800" w:hanging="180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584"/>
        </w:tabs>
        <w:ind w:left="1584" w:hanging="360"/>
      </w:pPr>
      <w:rPr>
        <w:rFonts w:ascii="Courier New" w:hAnsi="Courier New" w:cs="Courier New" w:hint="default"/>
      </w:rPr>
    </w:lvl>
    <w:lvl w:ilvl="2">
      <w:start w:val="1"/>
      <w:numFmt w:val="bullet"/>
      <w:lvlText w:val=""/>
      <w:lvlJc w:val="left"/>
      <w:pPr>
        <w:tabs>
          <w:tab w:val="num" w:pos="2304"/>
        </w:tabs>
        <w:ind w:left="2304" w:hanging="360"/>
      </w:pPr>
      <w:rPr>
        <w:rFonts w:ascii="Wingdings" w:hAnsi="Wingdings" w:cs="Wingdings" w:hint="default"/>
      </w:rPr>
    </w:lvl>
    <w:lvl w:ilvl="3">
      <w:start w:val="1"/>
      <w:numFmt w:val="bullet"/>
      <w:lvlText w:val=""/>
      <w:lvlJc w:val="left"/>
      <w:pPr>
        <w:tabs>
          <w:tab w:val="num" w:pos="3024"/>
        </w:tabs>
        <w:ind w:left="3024" w:hanging="360"/>
      </w:pPr>
      <w:rPr>
        <w:rFonts w:ascii="Symbol" w:hAnsi="Symbol" w:cs="Symbol" w:hint="default"/>
      </w:rPr>
    </w:lvl>
    <w:lvl w:ilvl="4">
      <w:start w:val="1"/>
      <w:numFmt w:val="bullet"/>
      <w:lvlText w:val="o"/>
      <w:lvlJc w:val="left"/>
      <w:pPr>
        <w:tabs>
          <w:tab w:val="num" w:pos="3744"/>
        </w:tabs>
        <w:ind w:left="3744" w:hanging="360"/>
      </w:pPr>
      <w:rPr>
        <w:rFonts w:ascii="Courier New" w:hAnsi="Courier New" w:cs="Courier New" w:hint="default"/>
      </w:rPr>
    </w:lvl>
    <w:lvl w:ilvl="5">
      <w:start w:val="1"/>
      <w:numFmt w:val="bullet"/>
      <w:lvlText w:val=""/>
      <w:lvlJc w:val="left"/>
      <w:pPr>
        <w:tabs>
          <w:tab w:val="num" w:pos="4464"/>
        </w:tabs>
        <w:ind w:left="4464" w:hanging="360"/>
      </w:pPr>
      <w:rPr>
        <w:rFonts w:ascii="Wingdings" w:hAnsi="Wingdings" w:cs="Wingdings" w:hint="default"/>
      </w:rPr>
    </w:lvl>
    <w:lvl w:ilvl="6">
      <w:start w:val="1"/>
      <w:numFmt w:val="bullet"/>
      <w:lvlText w:val=""/>
      <w:lvlJc w:val="left"/>
      <w:pPr>
        <w:tabs>
          <w:tab w:val="num" w:pos="5184"/>
        </w:tabs>
        <w:ind w:left="5184" w:hanging="360"/>
      </w:pPr>
      <w:rPr>
        <w:rFonts w:ascii="Symbol" w:hAnsi="Symbol" w:cs="Symbol" w:hint="default"/>
      </w:rPr>
    </w:lvl>
    <w:lvl w:ilvl="7">
      <w:start w:val="1"/>
      <w:numFmt w:val="bullet"/>
      <w:lvlText w:val="o"/>
      <w:lvlJc w:val="left"/>
      <w:pPr>
        <w:tabs>
          <w:tab w:val="num" w:pos="5904"/>
        </w:tabs>
        <w:ind w:left="5904" w:hanging="360"/>
      </w:pPr>
      <w:rPr>
        <w:rFonts w:ascii="Courier New" w:hAnsi="Courier New" w:cs="Courier New" w:hint="default"/>
      </w:rPr>
    </w:lvl>
    <w:lvl w:ilvl="8">
      <w:start w:val="1"/>
      <w:numFmt w:val="bullet"/>
      <w:lvlText w:val=""/>
      <w:lvlJc w:val="left"/>
      <w:pPr>
        <w:tabs>
          <w:tab w:val="num" w:pos="6624"/>
        </w:tabs>
        <w:ind w:left="6624" w:hanging="360"/>
      </w:pPr>
      <w:rPr>
        <w:rFonts w:ascii="Wingdings" w:hAnsi="Wingdings" w:cs="Wingdings" w:hint="default"/>
      </w:rPr>
    </w:lvl>
  </w:abstractNum>
  <w:abstractNum w:abstractNumId="4">
    <w:lvl w:ilvl="0">
      <w:start w:val="1"/>
      <w:numFmt w:val="lowerLetter"/>
      <w:lvlText w:val="%1."/>
      <w:lvlJc w:val="left"/>
      <w:pPr>
        <w:tabs>
          <w:tab w:val="num" w:pos="720"/>
        </w:tabs>
        <w:ind w:left="720" w:hanging="360"/>
      </w:pPr>
      <w:rPr>
        <w:rFonts w:ascii="Arial" w:hAnsi="Arial" w:eastAsia="Arial" w:cs="Arial"/>
        <w:b/>
      </w:rPr>
    </w:lvl>
    <w:lvl w:ilvl="1">
      <w:start w:val="1"/>
      <w:numFmt w:val="bullet"/>
      <w:lvlText w:val=""/>
      <w:lvlJc w:val="left"/>
      <w:pPr>
        <w:tabs>
          <w:tab w:val="num" w:pos="720"/>
        </w:tabs>
        <w:ind w:left="720" w:hanging="360"/>
      </w:pPr>
      <w:rPr>
        <w:rFonts w:ascii="Symbol" w:hAnsi="Symbol" w:cs="Symbol" w:hint="default"/>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2304"/>
        </w:tabs>
        <w:ind w:left="2304" w:hanging="360"/>
      </w:pPr>
      <w:rPr>
        <w:rFonts w:ascii="Courier New" w:hAnsi="Courier New" w:cs="Courier New" w:hint="default"/>
      </w:rPr>
    </w:lvl>
    <w:lvl w:ilvl="2">
      <w:start w:val="1"/>
      <w:numFmt w:val="bullet"/>
      <w:lvlText w:val=""/>
      <w:lvlJc w:val="left"/>
      <w:pPr>
        <w:tabs>
          <w:tab w:val="num" w:pos="3024"/>
        </w:tabs>
        <w:ind w:left="3024" w:hanging="360"/>
      </w:pPr>
      <w:rPr>
        <w:rFonts w:ascii="Wingdings" w:hAnsi="Wingdings" w:cs="Wingdings" w:hint="default"/>
      </w:rPr>
    </w:lvl>
    <w:lvl w:ilvl="3">
      <w:start w:val="1"/>
      <w:numFmt w:val="bullet"/>
      <w:lvlText w:val=""/>
      <w:lvlJc w:val="left"/>
      <w:pPr>
        <w:tabs>
          <w:tab w:val="num" w:pos="3744"/>
        </w:tabs>
        <w:ind w:left="3744" w:hanging="360"/>
      </w:pPr>
      <w:rPr>
        <w:rFonts w:ascii="Symbol" w:hAnsi="Symbol" w:cs="Symbol" w:hint="default"/>
      </w:rPr>
    </w:lvl>
    <w:lvl w:ilvl="4">
      <w:start w:val="1"/>
      <w:numFmt w:val="bullet"/>
      <w:lvlText w:val="o"/>
      <w:lvlJc w:val="left"/>
      <w:pPr>
        <w:tabs>
          <w:tab w:val="num" w:pos="4464"/>
        </w:tabs>
        <w:ind w:left="4464" w:hanging="360"/>
      </w:pPr>
      <w:rPr>
        <w:rFonts w:ascii="Courier New" w:hAnsi="Courier New" w:cs="Courier New" w:hint="default"/>
      </w:rPr>
    </w:lvl>
    <w:lvl w:ilvl="5">
      <w:start w:val="1"/>
      <w:numFmt w:val="bullet"/>
      <w:lvlText w:val=""/>
      <w:lvlJc w:val="left"/>
      <w:pPr>
        <w:tabs>
          <w:tab w:val="num" w:pos="5184"/>
        </w:tabs>
        <w:ind w:left="5184" w:hanging="360"/>
      </w:pPr>
      <w:rPr>
        <w:rFonts w:ascii="Wingdings" w:hAnsi="Wingdings" w:cs="Wingdings" w:hint="default"/>
      </w:rPr>
    </w:lvl>
    <w:lvl w:ilvl="6">
      <w:start w:val="1"/>
      <w:numFmt w:val="bullet"/>
      <w:lvlText w:val=""/>
      <w:lvlJc w:val="left"/>
      <w:pPr>
        <w:tabs>
          <w:tab w:val="num" w:pos="5904"/>
        </w:tabs>
        <w:ind w:left="5904" w:hanging="360"/>
      </w:pPr>
      <w:rPr>
        <w:rFonts w:ascii="Symbol" w:hAnsi="Symbol" w:cs="Symbol" w:hint="default"/>
      </w:rPr>
    </w:lvl>
    <w:lvl w:ilvl="7">
      <w:start w:val="1"/>
      <w:numFmt w:val="bullet"/>
      <w:lvlText w:val="o"/>
      <w:lvlJc w:val="left"/>
      <w:pPr>
        <w:tabs>
          <w:tab w:val="num" w:pos="6624"/>
        </w:tabs>
        <w:ind w:left="6624" w:hanging="360"/>
      </w:pPr>
      <w:rPr>
        <w:rFonts w:ascii="Courier New" w:hAnsi="Courier New" w:cs="Courier New" w:hint="default"/>
      </w:rPr>
    </w:lvl>
    <w:lvl w:ilvl="8">
      <w:start w:val="1"/>
      <w:numFmt w:val="bullet"/>
      <w:lvlText w:val=""/>
      <w:lvlJc w:val="left"/>
      <w:pPr>
        <w:tabs>
          <w:tab w:val="num" w:pos="7344"/>
        </w:tabs>
        <w:ind w:left="7344" w:hanging="360"/>
      </w:pPr>
      <w:rPr>
        <w:rFonts w:ascii="Wingdings" w:hAnsi="Wingdings" w:cs="Wingdings" w:hint="default"/>
      </w:rPr>
    </w:lvl>
  </w:abstractNum>
  <w:abstractNum w:abstractNumId="6">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2160"/>
        </w:tabs>
        <w:ind w:left="2160" w:hanging="360"/>
      </w:pPr>
      <w:rPr>
        <w:rFonts w:ascii="Courier New" w:hAnsi="Courier New" w:cs="Courier New" w:hint="default"/>
      </w:rPr>
    </w:lvl>
    <w:lvl w:ilvl="2">
      <w:start w:val="1"/>
      <w:numFmt w:val="bullet"/>
      <w:lvlText w:val=""/>
      <w:lvlJc w:val="left"/>
      <w:pPr>
        <w:tabs>
          <w:tab w:val="num" w:pos="2880"/>
        </w:tabs>
        <w:ind w:left="2880" w:hanging="360"/>
      </w:pPr>
      <w:rPr>
        <w:rFonts w:ascii="Wingdings" w:hAnsi="Wingdings" w:cs="Wingdings" w:hint="default"/>
      </w:rPr>
    </w:lvl>
    <w:lvl w:ilvl="3">
      <w:start w:val="1"/>
      <w:numFmt w:val="bullet"/>
      <w:lvlText w:val=""/>
      <w:lvlJc w:val="left"/>
      <w:pPr>
        <w:tabs>
          <w:tab w:val="num" w:pos="3600"/>
        </w:tabs>
        <w:ind w:left="3600" w:hanging="360"/>
      </w:pPr>
      <w:rPr>
        <w:rFonts w:ascii="Symbol" w:hAnsi="Symbol" w:cs="Symbol" w:hint="default"/>
      </w:rPr>
    </w:lvl>
    <w:lvl w:ilvl="4">
      <w:start w:val="1"/>
      <w:numFmt w:val="bullet"/>
      <w:lvlText w:val="o"/>
      <w:lvlJc w:val="left"/>
      <w:pPr>
        <w:tabs>
          <w:tab w:val="num" w:pos="4320"/>
        </w:tabs>
        <w:ind w:left="4320" w:hanging="360"/>
      </w:pPr>
      <w:rPr>
        <w:rFonts w:ascii="Courier New" w:hAnsi="Courier New" w:cs="Courier New" w:hint="default"/>
      </w:rPr>
    </w:lvl>
    <w:lvl w:ilvl="5">
      <w:start w:val="1"/>
      <w:numFmt w:val="bullet"/>
      <w:lvlText w:val=""/>
      <w:lvlJc w:val="left"/>
      <w:pPr>
        <w:tabs>
          <w:tab w:val="num" w:pos="5040"/>
        </w:tabs>
        <w:ind w:left="5040" w:hanging="360"/>
      </w:pPr>
      <w:rPr>
        <w:rFonts w:ascii="Wingdings" w:hAnsi="Wingdings" w:cs="Wingdings" w:hint="default"/>
      </w:rPr>
    </w:lvl>
    <w:lvl w:ilvl="6">
      <w:start w:val="1"/>
      <w:numFmt w:val="bullet"/>
      <w:lvlText w:val=""/>
      <w:lvlJc w:val="left"/>
      <w:pPr>
        <w:tabs>
          <w:tab w:val="num" w:pos="5760"/>
        </w:tabs>
        <w:ind w:left="5760" w:hanging="360"/>
      </w:pPr>
      <w:rPr>
        <w:rFonts w:ascii="Symbol" w:hAnsi="Symbol" w:cs="Symbol" w:hint="default"/>
      </w:rPr>
    </w:lvl>
    <w:lvl w:ilvl="7">
      <w:start w:val="1"/>
      <w:numFmt w:val="bullet"/>
      <w:lvlText w:val="o"/>
      <w:lvlJc w:val="left"/>
      <w:pPr>
        <w:tabs>
          <w:tab w:val="num" w:pos="6480"/>
        </w:tabs>
        <w:ind w:left="6480" w:hanging="360"/>
      </w:pPr>
      <w:rPr>
        <w:rFonts w:ascii="Courier New" w:hAnsi="Courier New" w:cs="Courier New" w:hint="default"/>
      </w:rPr>
    </w:lvl>
    <w:lvl w:ilvl="8">
      <w:start w:val="1"/>
      <w:numFmt w:val="bullet"/>
      <w:lvlText w:val=""/>
      <w:lvlJc w:val="left"/>
      <w:pPr>
        <w:tabs>
          <w:tab w:val="num" w:pos="7200"/>
        </w:tabs>
        <w:ind w:left="7200" w:hanging="360"/>
      </w:pPr>
      <w:rPr>
        <w:rFonts w:ascii="Wingdings" w:hAnsi="Wingdings" w:cs="Wingdings"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2">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1"/>
      <w:numFmt w:val="bullet"/>
      <w:lvlText w:val=""/>
      <w:lvlJc w:val="left"/>
      <w:pPr>
        <w:tabs>
          <w:tab w:val="num" w:pos="2520"/>
        </w:tabs>
        <w:ind w:left="2520" w:hanging="360"/>
      </w:pPr>
      <w:rPr>
        <w:rFonts w:ascii="Symbol" w:hAnsi="Symbol" w:cs="Symbol" w:hint="default"/>
        <w:b w:val="false"/>
        <w:sz w:val="24"/>
        <w:szCs w:val="24"/>
      </w:rPr>
    </w:lvl>
    <w:lvl w:ilvl="1">
      <w:start w:val="1"/>
      <w:numFmt w:val="bullet"/>
      <w:lvlText w:val=""/>
      <w:lvlJc w:val="left"/>
      <w:pPr>
        <w:tabs>
          <w:tab w:val="num" w:pos="1440"/>
        </w:tabs>
        <w:ind w:left="1440" w:hanging="360"/>
      </w:pPr>
      <w:rPr>
        <w:rFonts w:ascii="Symbol" w:hAnsi="Symbol" w:cs="Symbol" w:hint="default"/>
        <w:b w:val="false"/>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4">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o"/>
      <w:lvlJc w:val="left"/>
      <w:pPr>
        <w:tabs>
          <w:tab w:val="num" w:pos="180"/>
        </w:tabs>
        <w:ind w:left="180" w:hanging="360"/>
      </w:pPr>
      <w:rPr>
        <w:rFonts w:ascii="Courier New" w:hAnsi="Courier New" w:cs="Courier New"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15">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
      <w:lvlJc w:val="left"/>
      <w:pPr>
        <w:tabs>
          <w:tab w:val="num" w:pos="180"/>
        </w:tabs>
        <w:ind w:left="180" w:hanging="360"/>
      </w:pPr>
      <w:rPr>
        <w:rFonts w:ascii="Times New Roman" w:hAnsi="Times New Roman" w:cs="Times New Roman"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16">
    <w:lvl w:ilvl="0">
      <w:start w:val="1"/>
      <w:numFmt w:val="decimal"/>
      <w:lvlText w:val="%1."/>
      <w:lvlJc w:val="left"/>
      <w:pPr>
        <w:tabs>
          <w:tab w:val="num" w:pos="720"/>
        </w:tabs>
        <w:ind w:left="720" w:hanging="360"/>
      </w:pPr>
      <w:rPr>
        <w:b/>
      </w:rPr>
    </w:lvl>
    <w:lvl w:ilvl="1">
      <w:start w:val="1"/>
      <w:numFmt w:val="lowerLetter"/>
      <w:lvlText w:val="%2."/>
      <w:lvlJc w:val="left"/>
      <w:pPr>
        <w:tabs>
          <w:tab w:val="num" w:pos="732"/>
        </w:tabs>
        <w:ind w:left="732" w:hanging="360"/>
      </w:pPr>
      <w:rPr/>
    </w:lvl>
    <w:lvl w:ilvl="2">
      <w:start w:val="1"/>
      <w:numFmt w:val="lowerRoman"/>
      <w:lvlText w:val="%3."/>
      <w:lvlJc w:val="right"/>
      <w:pPr>
        <w:tabs>
          <w:tab w:val="num" w:pos="1452"/>
        </w:tabs>
        <w:ind w:left="1452" w:hanging="180"/>
      </w:pPr>
      <w:rPr/>
    </w:lvl>
    <w:lvl w:ilvl="3">
      <w:start w:val="1"/>
      <w:numFmt w:val="decimal"/>
      <w:lvlText w:val="%4."/>
      <w:lvlJc w:val="left"/>
      <w:pPr>
        <w:tabs>
          <w:tab w:val="num" w:pos="2172"/>
        </w:tabs>
        <w:ind w:left="2172" w:hanging="360"/>
      </w:pPr>
      <w:rPr/>
    </w:lvl>
    <w:lvl w:ilvl="4">
      <w:start w:val="1"/>
      <w:numFmt w:val="lowerLetter"/>
      <w:lvlText w:val="%5."/>
      <w:lvlJc w:val="left"/>
      <w:pPr>
        <w:tabs>
          <w:tab w:val="num" w:pos="2892"/>
        </w:tabs>
        <w:ind w:left="2892" w:hanging="360"/>
      </w:pPr>
      <w:rPr/>
    </w:lvl>
    <w:lvl w:ilvl="5">
      <w:start w:val="1"/>
      <w:numFmt w:val="lowerRoman"/>
      <w:lvlText w:val="%6."/>
      <w:lvlJc w:val="right"/>
      <w:pPr>
        <w:tabs>
          <w:tab w:val="num" w:pos="3612"/>
        </w:tabs>
        <w:ind w:left="3612" w:hanging="180"/>
      </w:pPr>
      <w:rPr/>
    </w:lvl>
    <w:lvl w:ilvl="6">
      <w:start w:val="1"/>
      <w:numFmt w:val="decimal"/>
      <w:lvlText w:val="%7."/>
      <w:lvlJc w:val="left"/>
      <w:pPr>
        <w:tabs>
          <w:tab w:val="num" w:pos="4332"/>
        </w:tabs>
        <w:ind w:left="4332" w:hanging="360"/>
      </w:pPr>
      <w:rPr/>
    </w:lvl>
    <w:lvl w:ilvl="7">
      <w:start w:val="1"/>
      <w:numFmt w:val="lowerLetter"/>
      <w:lvlText w:val="%8."/>
      <w:lvlJc w:val="left"/>
      <w:pPr>
        <w:tabs>
          <w:tab w:val="num" w:pos="5052"/>
        </w:tabs>
        <w:ind w:left="5052" w:hanging="360"/>
      </w:pPr>
      <w:rPr/>
    </w:lvl>
    <w:lvl w:ilvl="8">
      <w:start w:val="1"/>
      <w:numFmt w:val="lowerRoman"/>
      <w:lvlText w:val="%9."/>
      <w:lvlJc w:val="right"/>
      <w:pPr>
        <w:tabs>
          <w:tab w:val="num" w:pos="5772"/>
        </w:tabs>
        <w:ind w:left="5772" w:hanging="180"/>
      </w:pPr>
      <w:rPr/>
    </w:lvl>
  </w:abstractNum>
  <w:abstractNum w:abstractNumId="17">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18">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19">
    <w:lvl w:ilvl="0">
      <w:start w:val="1"/>
      <w:numFmt w:val="bullet"/>
      <w:lvlText w:val=""/>
      <w:lvlJc w:val="left"/>
      <w:pPr>
        <w:tabs>
          <w:tab w:val="num" w:pos="1080"/>
        </w:tabs>
        <w:ind w:left="1080" w:hanging="360"/>
      </w:pPr>
      <w:rPr>
        <w:rFonts w:ascii="Wingdings" w:hAnsi="Wingdings" w:cs="Wingdings" w:hint="default"/>
        <w:b w:val="false"/>
      </w:rPr>
    </w:lvl>
    <w:lvl w:ilvl="1">
      <w:start w:val="1"/>
      <w:numFmt w:val="bullet"/>
      <w:lvlText w:val="o"/>
      <w:lvlJc w:val="left"/>
      <w:pPr>
        <w:tabs>
          <w:tab w:val="num" w:pos="0"/>
        </w:tabs>
        <w:ind w:left="0" w:hanging="360"/>
      </w:pPr>
      <w:rPr>
        <w:rFonts w:ascii="Courier New" w:hAnsi="Courier New" w:cs="Courier New" w:hint="default"/>
      </w:rPr>
    </w:lvl>
    <w:lvl w:ilvl="2">
      <w:start w:val="1"/>
      <w:numFmt w:val="bullet"/>
      <w:lvlText w:val=""/>
      <w:lvlJc w:val="left"/>
      <w:pPr>
        <w:tabs>
          <w:tab w:val="num" w:pos="720"/>
        </w:tabs>
        <w:ind w:left="72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2160"/>
        </w:tabs>
        <w:ind w:left="2160" w:hanging="360"/>
      </w:pPr>
      <w:rPr>
        <w:rFonts w:ascii="Courier New" w:hAnsi="Courier New" w:cs="Courier New" w:hint="default"/>
      </w:rPr>
    </w:lvl>
    <w:lvl w:ilvl="5">
      <w:start w:val="1"/>
      <w:numFmt w:val="bullet"/>
      <w:lvlText w:val=""/>
      <w:lvlJc w:val="left"/>
      <w:pPr>
        <w:tabs>
          <w:tab w:val="num" w:pos="2880"/>
        </w:tabs>
        <w:ind w:left="2880" w:hanging="360"/>
      </w:pPr>
      <w:rPr>
        <w:rFonts w:ascii="Wingdings" w:hAnsi="Wingdings" w:cs="Wingdings"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o"/>
      <w:lvlJc w:val="left"/>
      <w:pPr>
        <w:tabs>
          <w:tab w:val="num" w:pos="4320"/>
        </w:tabs>
        <w:ind w:left="4320" w:hanging="360"/>
      </w:pPr>
      <w:rPr>
        <w:rFonts w:ascii="Courier New" w:hAnsi="Courier New" w:cs="Courier New" w:hint="default"/>
      </w:rPr>
    </w:lvl>
    <w:lvl w:ilvl="8">
      <w:start w:val="1"/>
      <w:numFmt w:val="bullet"/>
      <w:lvlText w:val=""/>
      <w:lvlJc w:val="left"/>
      <w:pPr>
        <w:tabs>
          <w:tab w:val="num" w:pos="5040"/>
        </w:tabs>
        <w:ind w:left="5040" w:hanging="360"/>
      </w:pPr>
      <w:rPr>
        <w:rFonts w:ascii="Wingdings" w:hAnsi="Wingdings" w:cs="Wingdings" w:hint="default"/>
      </w:rPr>
    </w:lvl>
  </w:abstractNum>
  <w:abstractNum w:abstractNumId="20">
    <w:lvl w:ilvl="0">
      <w:start w:val="1"/>
      <w:numFmt w:val="bullet"/>
      <w:lvlText w:val="o"/>
      <w:lvlJc w:val="left"/>
      <w:pPr>
        <w:tabs>
          <w:tab w:val="num" w:pos="1440"/>
        </w:tabs>
        <w:ind w:left="1440" w:hanging="360"/>
      </w:pPr>
      <w:rPr>
        <w:rFonts w:ascii="Courier New" w:hAnsi="Courier New" w:cs="Courier New" w:hint="default"/>
        <w:b w:val="false"/>
      </w:rPr>
    </w:lvl>
    <w:lvl w:ilvl="1">
      <w:start w:val="1"/>
      <w:numFmt w:val="bullet"/>
      <w:lvlText w:val="o"/>
      <w:lvlJc w:val="left"/>
      <w:pPr>
        <w:tabs>
          <w:tab w:val="num" w:pos="360"/>
        </w:tabs>
        <w:ind w:left="360" w:hanging="360"/>
      </w:pPr>
      <w:rPr>
        <w:rFonts w:ascii="Courier New" w:hAnsi="Courier New" w:cs="Courier New" w:hint="default"/>
      </w:rPr>
    </w:lvl>
    <w:lvl w:ilvl="2">
      <w:start w:val="1"/>
      <w:numFmt w:val="bullet"/>
      <w:lvlText w:val=""/>
      <w:lvlJc w:val="left"/>
      <w:pPr>
        <w:tabs>
          <w:tab w:val="num" w:pos="1080"/>
        </w:tabs>
        <w:ind w:left="1080" w:hanging="360"/>
      </w:pPr>
      <w:rPr>
        <w:rFonts w:ascii="Wingdings" w:hAnsi="Wingdings" w:cs="Wingdings"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o"/>
      <w:lvlJc w:val="left"/>
      <w:pPr>
        <w:tabs>
          <w:tab w:val="num" w:pos="2520"/>
        </w:tabs>
        <w:ind w:left="2520" w:hanging="360"/>
      </w:pPr>
      <w:rPr>
        <w:rFonts w:ascii="Courier New" w:hAnsi="Courier New" w:cs="Courier New" w:hint="default"/>
      </w:rPr>
    </w:lvl>
    <w:lvl w:ilvl="5">
      <w:start w:val="1"/>
      <w:numFmt w:val="bullet"/>
      <w:lvlText w:val=""/>
      <w:lvlJc w:val="left"/>
      <w:pPr>
        <w:tabs>
          <w:tab w:val="num" w:pos="3240"/>
        </w:tabs>
        <w:ind w:left="3240" w:hanging="360"/>
      </w:pPr>
      <w:rPr>
        <w:rFonts w:ascii="Wingdings" w:hAnsi="Wingdings" w:cs="Wingdings" w:hint="default"/>
      </w:rPr>
    </w:lvl>
    <w:lvl w:ilvl="6">
      <w:start w:val="1"/>
      <w:numFmt w:val="bullet"/>
      <w:lvlText w:val=""/>
      <w:lvlJc w:val="left"/>
      <w:pPr>
        <w:tabs>
          <w:tab w:val="num" w:pos="3960"/>
        </w:tabs>
        <w:ind w:left="3960" w:hanging="360"/>
      </w:pPr>
      <w:rPr>
        <w:rFonts w:ascii="Symbol" w:hAnsi="Symbol" w:cs="Symbol" w:hint="default"/>
      </w:rPr>
    </w:lvl>
    <w:lvl w:ilvl="7">
      <w:start w:val="1"/>
      <w:numFmt w:val="bullet"/>
      <w:lvlText w:val="o"/>
      <w:lvlJc w:val="left"/>
      <w:pPr>
        <w:tabs>
          <w:tab w:val="num" w:pos="4680"/>
        </w:tabs>
        <w:ind w:left="4680" w:hanging="360"/>
      </w:pPr>
      <w:rPr>
        <w:rFonts w:ascii="Courier New" w:hAnsi="Courier New" w:cs="Courier New" w:hint="default"/>
      </w:rPr>
    </w:lvl>
    <w:lvl w:ilvl="8">
      <w:start w:val="1"/>
      <w:numFmt w:val="bullet"/>
      <w:lvlText w:val=""/>
      <w:lvlJc w:val="left"/>
      <w:pPr>
        <w:tabs>
          <w:tab w:val="num" w:pos="5400"/>
        </w:tabs>
        <w:ind w:left="5400" w:hanging="360"/>
      </w:pPr>
      <w:rPr>
        <w:rFonts w:ascii="Wingdings" w:hAnsi="Wingdings" w:cs="Wingdings" w:hint="default"/>
      </w:rPr>
    </w:lvl>
  </w:abstractNum>
  <w:abstractNum w:abstractNumId="21">
    <w:lvl w:ilvl="0">
      <w:start w:val="1"/>
      <w:numFmt w:val="bullet"/>
      <w:lvlText w:val=""/>
      <w:lvlJc w:val="left"/>
      <w:pPr>
        <w:tabs>
          <w:tab w:val="num" w:pos="1080"/>
        </w:tabs>
        <w:ind w:left="1080" w:hanging="360"/>
      </w:pPr>
      <w:rPr>
        <w:rFonts w:ascii="Wingdings" w:hAnsi="Wingdings" w:cs="Wingdings" w:hint="default"/>
        <w:b w:val="false"/>
      </w:rPr>
    </w:lvl>
    <w:lvl w:ilvl="1">
      <w:start w:val="1"/>
      <w:numFmt w:val="bullet"/>
      <w:lvlText w:val="o"/>
      <w:lvlJc w:val="left"/>
      <w:pPr>
        <w:tabs>
          <w:tab w:val="num" w:pos="0"/>
        </w:tabs>
        <w:ind w:left="0" w:hanging="360"/>
      </w:pPr>
      <w:rPr>
        <w:rFonts w:ascii="Courier New" w:hAnsi="Courier New" w:cs="Courier New" w:hint="default"/>
      </w:rPr>
    </w:lvl>
    <w:lvl w:ilvl="2">
      <w:start w:val="1"/>
      <w:numFmt w:val="bullet"/>
      <w:lvlText w:val=""/>
      <w:lvlJc w:val="left"/>
      <w:pPr>
        <w:tabs>
          <w:tab w:val="num" w:pos="720"/>
        </w:tabs>
        <w:ind w:left="72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2160"/>
        </w:tabs>
        <w:ind w:left="2160" w:hanging="360"/>
      </w:pPr>
      <w:rPr>
        <w:rFonts w:ascii="Courier New" w:hAnsi="Courier New" w:cs="Courier New" w:hint="default"/>
      </w:rPr>
    </w:lvl>
    <w:lvl w:ilvl="5">
      <w:start w:val="1"/>
      <w:numFmt w:val="bullet"/>
      <w:lvlText w:val=""/>
      <w:lvlJc w:val="left"/>
      <w:pPr>
        <w:tabs>
          <w:tab w:val="num" w:pos="2880"/>
        </w:tabs>
        <w:ind w:left="2880" w:hanging="360"/>
      </w:pPr>
      <w:rPr>
        <w:rFonts w:ascii="Wingdings" w:hAnsi="Wingdings" w:cs="Wingdings"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o"/>
      <w:lvlJc w:val="left"/>
      <w:pPr>
        <w:tabs>
          <w:tab w:val="num" w:pos="4320"/>
        </w:tabs>
        <w:ind w:left="4320" w:hanging="360"/>
      </w:pPr>
      <w:rPr>
        <w:rFonts w:ascii="Courier New" w:hAnsi="Courier New" w:cs="Courier New" w:hint="default"/>
      </w:rPr>
    </w:lvl>
    <w:lvl w:ilvl="8">
      <w:start w:val="1"/>
      <w:numFmt w:val="bullet"/>
      <w:lvlText w:val=""/>
      <w:lvlJc w:val="left"/>
      <w:pPr>
        <w:tabs>
          <w:tab w:val="num" w:pos="5040"/>
        </w:tabs>
        <w:ind w:left="5040" w:hanging="360"/>
      </w:pPr>
      <w:rPr>
        <w:rFonts w:ascii="Wingdings" w:hAnsi="Wingdings" w:cs="Wingdings" w:hint="default"/>
      </w:rPr>
    </w:lvl>
  </w:abstractNum>
  <w:abstractNum w:abstractNumId="22">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4">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o"/>
      <w:lvlJc w:val="left"/>
      <w:pPr>
        <w:tabs>
          <w:tab w:val="num" w:pos="180"/>
        </w:tabs>
        <w:ind w:left="180" w:hanging="360"/>
      </w:pPr>
      <w:rPr>
        <w:rFonts w:ascii="Courier New" w:hAnsi="Courier New" w:cs="Courier New"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25">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6">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7">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8">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9">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0">
    <w:lvl w:ilvl="0">
      <w:start w:val="1"/>
      <w:numFmt w:val="bullet"/>
      <w:lvlText w:val=""/>
      <w:lvlJc w:val="left"/>
      <w:pPr>
        <w:tabs>
          <w:tab w:val="num" w:pos="1428"/>
        </w:tabs>
        <w:ind w:left="1428" w:hanging="360"/>
      </w:pPr>
      <w:rPr>
        <w:rFonts w:ascii="Symbol" w:hAnsi="Symbol" w:cs="Symbol" w:hint="default"/>
        <w:b w:val="false"/>
      </w:rPr>
    </w:lvl>
    <w:lvl w:ilvl="1">
      <w:start w:val="1"/>
      <w:numFmt w:val="bullet"/>
      <w:lvlText w:val="o"/>
      <w:lvlJc w:val="left"/>
      <w:pPr>
        <w:tabs>
          <w:tab w:val="num" w:pos="348"/>
        </w:tabs>
        <w:ind w:left="348" w:hanging="360"/>
      </w:pPr>
      <w:rPr>
        <w:rFonts w:ascii="Courier New" w:hAnsi="Courier New" w:cs="Courier New" w:hint="default"/>
      </w:rPr>
    </w:lvl>
    <w:lvl w:ilvl="2">
      <w:start w:val="1"/>
      <w:numFmt w:val="bullet"/>
      <w:lvlText w:val=""/>
      <w:lvlJc w:val="left"/>
      <w:pPr>
        <w:tabs>
          <w:tab w:val="num" w:pos="1068"/>
        </w:tabs>
        <w:ind w:left="1068" w:hanging="360"/>
      </w:pPr>
      <w:rPr>
        <w:rFonts w:ascii="Wingdings" w:hAnsi="Wingdings" w:cs="Wingdings" w:hint="default"/>
      </w:rPr>
    </w:lvl>
    <w:lvl w:ilvl="3">
      <w:start w:val="1"/>
      <w:numFmt w:val="bullet"/>
      <w:lvlText w:val=""/>
      <w:lvlJc w:val="left"/>
      <w:pPr>
        <w:tabs>
          <w:tab w:val="num" w:pos="1788"/>
        </w:tabs>
        <w:ind w:left="1788" w:hanging="360"/>
      </w:pPr>
      <w:rPr>
        <w:rFonts w:ascii="Symbol" w:hAnsi="Symbol" w:cs="Symbol" w:hint="default"/>
      </w:rPr>
    </w:lvl>
    <w:lvl w:ilvl="4">
      <w:start w:val="1"/>
      <w:numFmt w:val="bullet"/>
      <w:lvlText w:val="o"/>
      <w:lvlJc w:val="left"/>
      <w:pPr>
        <w:tabs>
          <w:tab w:val="num" w:pos="2508"/>
        </w:tabs>
        <w:ind w:left="2508" w:hanging="360"/>
      </w:pPr>
      <w:rPr>
        <w:rFonts w:ascii="Courier New" w:hAnsi="Courier New" w:cs="Courier New" w:hint="default"/>
      </w:rPr>
    </w:lvl>
    <w:lvl w:ilvl="5">
      <w:start w:val="1"/>
      <w:numFmt w:val="bullet"/>
      <w:lvlText w:val=""/>
      <w:lvlJc w:val="left"/>
      <w:pPr>
        <w:tabs>
          <w:tab w:val="num" w:pos="3228"/>
        </w:tabs>
        <w:ind w:left="3228" w:hanging="360"/>
      </w:pPr>
      <w:rPr>
        <w:rFonts w:ascii="Wingdings" w:hAnsi="Wingdings" w:cs="Wingdings" w:hint="default"/>
      </w:rPr>
    </w:lvl>
    <w:lvl w:ilvl="6">
      <w:start w:val="1"/>
      <w:numFmt w:val="bullet"/>
      <w:lvlText w:val=""/>
      <w:lvlJc w:val="left"/>
      <w:pPr>
        <w:tabs>
          <w:tab w:val="num" w:pos="3948"/>
        </w:tabs>
        <w:ind w:left="3948" w:hanging="360"/>
      </w:pPr>
      <w:rPr>
        <w:rFonts w:ascii="Symbol" w:hAnsi="Symbol" w:cs="Symbol" w:hint="default"/>
      </w:rPr>
    </w:lvl>
    <w:lvl w:ilvl="7">
      <w:start w:val="1"/>
      <w:numFmt w:val="bullet"/>
      <w:lvlText w:val="o"/>
      <w:lvlJc w:val="left"/>
      <w:pPr>
        <w:tabs>
          <w:tab w:val="num" w:pos="4668"/>
        </w:tabs>
        <w:ind w:left="4668" w:hanging="360"/>
      </w:pPr>
      <w:rPr>
        <w:rFonts w:ascii="Courier New" w:hAnsi="Courier New" w:cs="Courier New" w:hint="default"/>
      </w:rPr>
    </w:lvl>
    <w:lvl w:ilvl="8">
      <w:start w:val="1"/>
      <w:numFmt w:val="bullet"/>
      <w:lvlText w:val=""/>
      <w:lvlJc w:val="left"/>
      <w:pPr>
        <w:tabs>
          <w:tab w:val="num" w:pos="5388"/>
        </w:tabs>
        <w:ind w:left="5388" w:hanging="360"/>
      </w:pPr>
      <w:rPr>
        <w:rFonts w:ascii="Wingdings" w:hAnsi="Wingdings" w:cs="Wingdings" w:hint="default"/>
      </w:rPr>
    </w:lvl>
  </w:abstractNum>
  <w:abstractNum w:abstractNumId="31">
    <w:lvl w:ilvl="0">
      <w:start w:val="1"/>
      <w:numFmt w:val="bullet"/>
      <w:lvlText w:val=""/>
      <w:lvlJc w:val="left"/>
      <w:pPr>
        <w:tabs>
          <w:tab w:val="num" w:pos="1428"/>
        </w:tabs>
        <w:ind w:left="1428" w:hanging="360"/>
      </w:pPr>
      <w:rPr>
        <w:rFonts w:ascii="Symbol" w:hAnsi="Symbol" w:cs="Symbol" w:hint="default"/>
        <w:b w:val="false"/>
      </w:rPr>
    </w:lvl>
    <w:lvl w:ilvl="1">
      <w:start w:val="1"/>
      <w:numFmt w:val="bullet"/>
      <w:lvlText w:val="o"/>
      <w:lvlJc w:val="left"/>
      <w:pPr>
        <w:tabs>
          <w:tab w:val="num" w:pos="348"/>
        </w:tabs>
        <w:ind w:left="348" w:hanging="360"/>
      </w:pPr>
      <w:rPr>
        <w:rFonts w:ascii="Courier New" w:hAnsi="Courier New" w:cs="Courier New" w:hint="default"/>
      </w:rPr>
    </w:lvl>
    <w:lvl w:ilvl="2">
      <w:start w:val="1"/>
      <w:numFmt w:val="bullet"/>
      <w:lvlText w:val=""/>
      <w:lvlJc w:val="left"/>
      <w:pPr>
        <w:tabs>
          <w:tab w:val="num" w:pos="1068"/>
        </w:tabs>
        <w:ind w:left="1068" w:hanging="360"/>
      </w:pPr>
      <w:rPr>
        <w:rFonts w:ascii="Wingdings" w:hAnsi="Wingdings" w:cs="Wingdings" w:hint="default"/>
      </w:rPr>
    </w:lvl>
    <w:lvl w:ilvl="3">
      <w:start w:val="1"/>
      <w:numFmt w:val="bullet"/>
      <w:lvlText w:val=""/>
      <w:lvlJc w:val="left"/>
      <w:pPr>
        <w:tabs>
          <w:tab w:val="num" w:pos="1788"/>
        </w:tabs>
        <w:ind w:left="1788" w:hanging="360"/>
      </w:pPr>
      <w:rPr>
        <w:rFonts w:ascii="Symbol" w:hAnsi="Symbol" w:cs="Symbol" w:hint="default"/>
      </w:rPr>
    </w:lvl>
    <w:lvl w:ilvl="4">
      <w:start w:val="1"/>
      <w:numFmt w:val="bullet"/>
      <w:lvlText w:val="o"/>
      <w:lvlJc w:val="left"/>
      <w:pPr>
        <w:tabs>
          <w:tab w:val="num" w:pos="2508"/>
        </w:tabs>
        <w:ind w:left="2508" w:hanging="360"/>
      </w:pPr>
      <w:rPr>
        <w:rFonts w:ascii="Courier New" w:hAnsi="Courier New" w:cs="Courier New" w:hint="default"/>
      </w:rPr>
    </w:lvl>
    <w:lvl w:ilvl="5">
      <w:start w:val="1"/>
      <w:numFmt w:val="bullet"/>
      <w:lvlText w:val=""/>
      <w:lvlJc w:val="left"/>
      <w:pPr>
        <w:tabs>
          <w:tab w:val="num" w:pos="3228"/>
        </w:tabs>
        <w:ind w:left="3228" w:hanging="360"/>
      </w:pPr>
      <w:rPr>
        <w:rFonts w:ascii="Wingdings" w:hAnsi="Wingdings" w:cs="Wingdings" w:hint="default"/>
      </w:rPr>
    </w:lvl>
    <w:lvl w:ilvl="6">
      <w:start w:val="1"/>
      <w:numFmt w:val="bullet"/>
      <w:lvlText w:val=""/>
      <w:lvlJc w:val="left"/>
      <w:pPr>
        <w:tabs>
          <w:tab w:val="num" w:pos="3948"/>
        </w:tabs>
        <w:ind w:left="3948" w:hanging="360"/>
      </w:pPr>
      <w:rPr>
        <w:rFonts w:ascii="Symbol" w:hAnsi="Symbol" w:cs="Symbol" w:hint="default"/>
      </w:rPr>
    </w:lvl>
    <w:lvl w:ilvl="7">
      <w:start w:val="1"/>
      <w:numFmt w:val="bullet"/>
      <w:lvlText w:val="o"/>
      <w:lvlJc w:val="left"/>
      <w:pPr>
        <w:tabs>
          <w:tab w:val="num" w:pos="4668"/>
        </w:tabs>
        <w:ind w:left="4668" w:hanging="360"/>
      </w:pPr>
      <w:rPr>
        <w:rFonts w:ascii="Courier New" w:hAnsi="Courier New" w:cs="Courier New" w:hint="default"/>
      </w:rPr>
    </w:lvl>
    <w:lvl w:ilvl="8">
      <w:start w:val="1"/>
      <w:numFmt w:val="bullet"/>
      <w:lvlText w:val=""/>
      <w:lvlJc w:val="left"/>
      <w:pPr>
        <w:tabs>
          <w:tab w:val="num" w:pos="5388"/>
        </w:tabs>
        <w:ind w:left="5388" w:hanging="360"/>
      </w:pPr>
      <w:rPr>
        <w:rFonts w:ascii="Wingdings" w:hAnsi="Wingdings" w:cs="Wingdings" w:hint="default"/>
      </w:rPr>
    </w:lvl>
  </w:abstractNum>
  <w:abstractNum w:abstractNumId="32">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3">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4">
    <w:lvl w:ilvl="0">
      <w:start w:val="1"/>
      <w:numFmt w:val="bullet"/>
      <w:lvlText w:val=""/>
      <w:lvlJc w:val="left"/>
      <w:pPr>
        <w:tabs>
          <w:tab w:val="num" w:pos="0"/>
        </w:tabs>
        <w:ind w:left="216" w:hanging="216"/>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3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ac0410"/>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ro-RO" w:bidi="ar-SA"/>
    </w:rPr>
  </w:style>
  <w:style w:type="paragraph" w:styleId="Heading1">
    <w:name w:val="heading 1"/>
    <w:basedOn w:val="Normal"/>
    <w:next w:val="Normal"/>
    <w:link w:val="Heading1Char"/>
    <w:qFormat/>
    <w:pPr>
      <w:keepNext w:val="true"/>
      <w:jc w:val="center"/>
      <w:outlineLvl w:val="0"/>
    </w:pPr>
    <w:rPr>
      <w:b/>
      <w:sz w:val="32"/>
      <w:szCs w:val="20"/>
      <w:lang w:val="en-US"/>
    </w:rPr>
  </w:style>
  <w:style w:type="paragraph" w:styleId="Heading2">
    <w:name w:val="heading 2"/>
    <w:basedOn w:val="Normal"/>
    <w:next w:val="Normal"/>
    <w:link w:val="Heading2Char"/>
    <w:qFormat/>
    <w:pPr>
      <w:keepNext w:val="true"/>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pPr>
      <w:keepNext w:val="true"/>
      <w:spacing w:before="240" w:after="60"/>
      <w:outlineLvl w:val="2"/>
    </w:pPr>
    <w:rPr>
      <w:rFonts w:ascii="Arial" w:hAnsi="Arial" w:cs="Arial"/>
      <w:b/>
      <w:bCs/>
      <w:sz w:val="26"/>
      <w:szCs w:val="26"/>
    </w:rPr>
  </w:style>
  <w:style w:type="paragraph" w:styleId="Heading4">
    <w:name w:val="heading 4"/>
    <w:basedOn w:val="Normal"/>
    <w:next w:val="Normal"/>
    <w:link w:val="Heading4Char"/>
    <w:qFormat/>
    <w:pPr>
      <w:keepNext w:val="true"/>
      <w:spacing w:before="240" w:after="60"/>
      <w:outlineLvl w:val="3"/>
    </w:pPr>
    <w:rPr>
      <w:b/>
      <w:bCs/>
      <w:sz w:val="28"/>
      <w:szCs w:val="28"/>
      <w:lang w:val="en-GB" w:eastAsia="en-US"/>
    </w:rPr>
  </w:style>
  <w:style w:type="paragraph" w:styleId="Heading5">
    <w:name w:val="heading 5"/>
    <w:basedOn w:val="Normal"/>
    <w:next w:val="Normal"/>
    <w:link w:val="Heading5Char"/>
    <w:qFormat/>
    <w:pPr>
      <w:keepNext w:val="true"/>
      <w:jc w:val="center"/>
      <w:outlineLvl w:val="4"/>
    </w:pPr>
    <w:rPr>
      <w:b/>
      <w:sz w:val="36"/>
      <w:szCs w:val="36"/>
      <w:lang w:val="es-ES_tradnl"/>
    </w:rPr>
  </w:style>
  <w:style w:type="paragraph" w:styleId="Heading6">
    <w:name w:val="heading 6"/>
    <w:basedOn w:val="Normal"/>
    <w:next w:val="Normal"/>
    <w:link w:val="Heading6Char"/>
    <w:qFormat/>
    <w:rsid w:val="00575dcf"/>
    <w:pPr>
      <w:spacing w:before="240" w:after="60"/>
      <w:outlineLvl w:val="5"/>
    </w:pPr>
    <w:rPr>
      <w:rFonts w:ascii="Calibri" w:hAnsi="Calibri"/>
      <w:b/>
      <w:bCs/>
      <w:sz w:val="22"/>
      <w:szCs w:val="22"/>
      <w:lang w:val="x-none" w:eastAsia="x-none" w:bidi="en-US"/>
    </w:rPr>
  </w:style>
  <w:style w:type="paragraph" w:styleId="Heading9">
    <w:name w:val="heading 9"/>
    <w:basedOn w:val="Normal"/>
    <w:next w:val="Normal"/>
    <w:link w:val="Heading9Char"/>
    <w:qFormat/>
    <w:pPr>
      <w:spacing w:before="240" w:after="60"/>
      <w:outlineLvl w:val="8"/>
    </w:pPr>
    <w:rPr>
      <w:rFonts w:ascii="Arial" w:hAnsi="Arial" w:cs="Arial"/>
      <w:sz w:val="22"/>
      <w:szCs w:val="22"/>
    </w:rPr>
  </w:style>
  <w:style w:type="character" w:styleId="DefaultParagraphFont" w:default="1">
    <w:name w:val="Default Paragraph Font"/>
    <w:uiPriority w:val="1"/>
    <w:semiHidden/>
    <w:unhideWhenUsed/>
    <w:rPr/>
  </w:style>
  <w:style w:type="character" w:styleId="FootnoteCharacters">
    <w:name w:val="Footnote Characters"/>
    <w:semiHidden/>
    <w:rPr>
      <w:vertAlign w:val="superscript"/>
    </w:rPr>
  </w:style>
  <w:style w:type="character" w:styleId="FootnoteCharactersuser">
    <w:name w:val="Footnote Characters (user)"/>
    <w:rPr>
      <w:vertAlign w:val="superscript"/>
    </w:rPr>
  </w:style>
  <w:style w:type="character" w:styleId="FootnoteReference">
    <w:name w:val="footnote reference"/>
    <w:rPr>
      <w:vertAlign w:val="superscript"/>
    </w:rPr>
  </w:style>
  <w:style w:type="character" w:styleId="PageNumber">
    <w:name w:val="page number"/>
    <w:basedOn w:val="DefaultParagraphFont"/>
    <w:rPr/>
  </w:style>
  <w:style w:type="character" w:styleId="postbody" w:customStyle="1">
    <w:name w:val="postbody"/>
    <w:basedOn w:val="DefaultParagraphFont"/>
    <w:rPr/>
  </w:style>
  <w:style w:type="character" w:styleId="Hyperlink">
    <w:name w:val="Hyperlink"/>
    <w:rsid w:val="00760842"/>
    <w:rPr>
      <w:u w:val="single"/>
    </w:rPr>
  </w:style>
  <w:style w:type="character" w:styleId="Strong">
    <w:name w:val="Strong"/>
    <w:qFormat/>
    <w:rsid w:val="00df2a52"/>
    <w:rPr>
      <w:b/>
      <w:bCs/>
    </w:rPr>
  </w:style>
  <w:style w:type="character" w:styleId="tpa1" w:customStyle="1">
    <w:name w:val="tpa1"/>
    <w:basedOn w:val="DefaultParagraphFont"/>
    <w:rsid w:val="000f5df7"/>
    <w:rPr/>
  </w:style>
  <w:style w:type="character" w:styleId="ar1" w:customStyle="1">
    <w:name w:val="ar1"/>
    <w:rsid w:val="003e11a4"/>
    <w:rPr>
      <w:b/>
      <w:bCs/>
      <w:sz w:val="22"/>
      <w:szCs w:val="22"/>
    </w:rPr>
  </w:style>
  <w:style w:type="character" w:styleId="pt1" w:customStyle="1">
    <w:name w:val="pt1"/>
    <w:rsid w:val="003e11a4"/>
    <w:rPr>
      <w:b/>
      <w:bCs/>
    </w:rPr>
  </w:style>
  <w:style w:type="character" w:styleId="tpt1" w:customStyle="1">
    <w:name w:val="tpt1"/>
    <w:basedOn w:val="DefaultParagraphFont"/>
    <w:rsid w:val="003e11a4"/>
    <w:rPr/>
  </w:style>
  <w:style w:type="character" w:styleId="al1" w:customStyle="1">
    <w:name w:val="al1"/>
    <w:rsid w:val="003e11a4"/>
    <w:rPr>
      <w:b/>
      <w:bCs/>
    </w:rPr>
  </w:style>
  <w:style w:type="character" w:styleId="tal1" w:customStyle="1">
    <w:name w:val="tal1"/>
    <w:basedOn w:val="DefaultParagraphFont"/>
    <w:rsid w:val="003e11a4"/>
    <w:rPr/>
  </w:style>
  <w:style w:type="character" w:styleId="do1" w:customStyle="1">
    <w:name w:val="do1"/>
    <w:rsid w:val="003e11a4"/>
    <w:rPr>
      <w:b/>
      <w:bCs/>
      <w:sz w:val="26"/>
      <w:szCs w:val="26"/>
    </w:rPr>
  </w:style>
  <w:style w:type="character" w:styleId="FooterChar" w:customStyle="1">
    <w:name w:val="Footer Char"/>
    <w:link w:val="Footer"/>
    <w:rsid w:val="00515ee0"/>
    <w:rPr>
      <w:sz w:val="24"/>
      <w:szCs w:val="24"/>
      <w:lang w:val="ro-RO" w:eastAsia="ro-RO"/>
    </w:rPr>
  </w:style>
  <w:style w:type="character" w:styleId="Heading1Char" w:customStyle="1">
    <w:name w:val="Heading 1 Char"/>
    <w:link w:val="Heading1"/>
    <w:rsid w:val="002d6828"/>
    <w:rPr>
      <w:b/>
      <w:sz w:val="32"/>
      <w:lang w:eastAsia="ro-RO"/>
    </w:rPr>
  </w:style>
  <w:style w:type="character" w:styleId="TitleChar" w:customStyle="1">
    <w:name w:val="Title Char"/>
    <w:link w:val="Title"/>
    <w:rsid w:val="002d6828"/>
    <w:rPr>
      <w:b/>
      <w:sz w:val="28"/>
      <w:lang w:val="ro-RO" w:eastAsia="ro-RO"/>
    </w:rPr>
  </w:style>
  <w:style w:type="character" w:styleId="BalloonTextChar" w:customStyle="1">
    <w:name w:val="Balloon Text Char"/>
    <w:link w:val="BalloonText"/>
    <w:rsid w:val="00ea3ac1"/>
    <w:rPr>
      <w:rFonts w:ascii="Segoe UI" w:hAnsi="Segoe UI" w:cs="Segoe UI"/>
      <w:sz w:val="18"/>
      <w:szCs w:val="18"/>
      <w:lang w:val="ro-RO" w:eastAsia="ro-RO"/>
    </w:rPr>
  </w:style>
  <w:style w:type="character" w:styleId="a" w:customStyle="1">
    <w:name w:val="a"/>
    <w:basedOn w:val="DefaultParagraphFont"/>
    <w:rsid w:val="007d0ab7"/>
    <w:rPr/>
  </w:style>
  <w:style w:type="character" w:styleId="Heading6Char" w:customStyle="1">
    <w:name w:val="Heading 6 Char"/>
    <w:basedOn w:val="DefaultParagraphFont"/>
    <w:link w:val="Heading6"/>
    <w:rsid w:val="00575dcf"/>
    <w:rPr>
      <w:rFonts w:ascii="Calibri" w:hAnsi="Calibri"/>
      <w:b/>
      <w:bCs/>
      <w:sz w:val="22"/>
      <w:szCs w:val="22"/>
      <w:lang w:val="x-none" w:eastAsia="x-none" w:bidi="en-US"/>
    </w:rPr>
  </w:style>
  <w:style w:type="character" w:styleId="Heading9Char" w:customStyle="1">
    <w:name w:val="Heading 9 Char"/>
    <w:link w:val="Heading9"/>
    <w:rsid w:val="00575dcf"/>
    <w:rPr>
      <w:rFonts w:ascii="Arial" w:hAnsi="Arial" w:cs="Arial"/>
      <w:sz w:val="22"/>
      <w:szCs w:val="22"/>
      <w:lang w:val="ro-RO" w:eastAsia="ro-RO"/>
    </w:rPr>
  </w:style>
  <w:style w:type="character" w:styleId="BodyTextChar" w:customStyle="1">
    <w:name w:val="Body Text Char"/>
    <w:rsid w:val="00575dcf"/>
    <w:rPr>
      <w:rFonts w:ascii="Arial" w:hAnsi="Arial"/>
      <w:sz w:val="24"/>
      <w:lang w:val="en-GB"/>
    </w:rPr>
  </w:style>
  <w:style w:type="character" w:styleId="HeaderChar" w:customStyle="1">
    <w:name w:val="Header Char"/>
    <w:link w:val="Header"/>
    <w:rsid w:val="00575dcf"/>
    <w:rPr>
      <w:sz w:val="24"/>
      <w:szCs w:val="24"/>
      <w:lang w:val="ro-RO" w:eastAsia="ro-RO"/>
    </w:rPr>
  </w:style>
  <w:style w:type="character" w:styleId="FollowedHyperlink">
    <w:name w:val="FollowedHyperlink"/>
    <w:rsid w:val="00575dcf"/>
    <w:rPr>
      <w:u w:val="single"/>
    </w:rPr>
  </w:style>
  <w:style w:type="character" w:styleId="st" w:customStyle="1">
    <w:name w:val="st"/>
    <w:basedOn w:val="DefaultParagraphFont"/>
    <w:rsid w:val="00575dcf"/>
    <w:rPr/>
  </w:style>
  <w:style w:type="character" w:styleId="Heading2Char" w:customStyle="1">
    <w:name w:val="Heading 2 Char"/>
    <w:link w:val="Heading2"/>
    <w:rsid w:val="00575dcf"/>
    <w:rPr>
      <w:rFonts w:ascii="Arial" w:hAnsi="Arial" w:cs="Arial"/>
      <w:b/>
      <w:bCs/>
      <w:i/>
      <w:iCs/>
      <w:sz w:val="28"/>
      <w:szCs w:val="28"/>
      <w:lang w:val="ro-RO" w:eastAsia="ro-RO"/>
    </w:rPr>
  </w:style>
  <w:style w:type="character" w:styleId="Heading3Char" w:customStyle="1">
    <w:name w:val="Heading 3 Char"/>
    <w:link w:val="Heading3"/>
    <w:rsid w:val="00575dcf"/>
    <w:rPr>
      <w:rFonts w:ascii="Arial" w:hAnsi="Arial" w:cs="Arial"/>
      <w:b/>
      <w:bCs/>
      <w:sz w:val="26"/>
      <w:szCs w:val="26"/>
      <w:lang w:val="ro-RO" w:eastAsia="ro-RO"/>
    </w:rPr>
  </w:style>
  <w:style w:type="character" w:styleId="Heading4Char" w:customStyle="1">
    <w:name w:val="Heading 4 Char"/>
    <w:link w:val="Heading4"/>
    <w:rsid w:val="00575dcf"/>
    <w:rPr>
      <w:b/>
      <w:bCs/>
      <w:sz w:val="28"/>
      <w:szCs w:val="28"/>
      <w:lang w:val="en-GB"/>
    </w:rPr>
  </w:style>
  <w:style w:type="character" w:styleId="Heading5Char" w:customStyle="1">
    <w:name w:val="Heading 5 Char"/>
    <w:link w:val="Heading5"/>
    <w:rsid w:val="00575dcf"/>
    <w:rPr>
      <w:b/>
      <w:sz w:val="36"/>
      <w:szCs w:val="36"/>
      <w:lang w:val="es-ES_tradnl" w:eastAsia="ro-RO"/>
    </w:rPr>
  </w:style>
  <w:style w:type="character" w:styleId="BodyTextIndentChar" w:customStyle="1">
    <w:name w:val="Body Text Indent Char"/>
    <w:rsid w:val="00575dcf"/>
    <w:rPr>
      <w:rFonts w:ascii="Arial" w:hAnsi="Arial"/>
      <w:sz w:val="24"/>
      <w:lang w:val="en-GB"/>
    </w:rPr>
  </w:style>
  <w:style w:type="character" w:styleId="BodyTextIndent2Char" w:customStyle="1">
    <w:name w:val="Body Text Indent 2 Char"/>
    <w:link w:val="BodyTextIndent2"/>
    <w:rsid w:val="00575dcf"/>
    <w:rPr>
      <w:rFonts w:ascii="Arial" w:hAnsi="Arial"/>
      <w:sz w:val="24"/>
      <w:lang w:val="en-GB"/>
    </w:rPr>
  </w:style>
  <w:style w:type="character" w:styleId="FootnoteTextChar" w:customStyle="1">
    <w:name w:val="Footnote Text Char"/>
    <w:link w:val="FootnoteText"/>
    <w:semiHidden/>
    <w:rsid w:val="00575dcf"/>
    <w:rPr>
      <w:lang w:val="ro-RO" w:eastAsia="ro-RO"/>
    </w:rPr>
  </w:style>
  <w:style w:type="character" w:styleId="HTMLPreformattedChar" w:customStyle="1">
    <w:name w:val="HTML Preformatted Char"/>
    <w:link w:val="HTMLPreformatted"/>
    <w:rsid w:val="00575dcf"/>
    <w:rPr>
      <w:rFonts w:ascii="Courier New" w:hAnsi="Courier New" w:cs="Courier New"/>
      <w:sz w:val="24"/>
      <w:szCs w:val="24"/>
    </w:rPr>
  </w:style>
  <w:style w:type="character" w:styleId="BodyText2Char" w:customStyle="1">
    <w:name w:val="Body Text 2 Char"/>
    <w:link w:val="BodyText2"/>
    <w:rsid w:val="00575dcf"/>
    <w:rPr>
      <w:sz w:val="24"/>
      <w:szCs w:val="24"/>
      <w:lang w:val="ro-RO" w:eastAsia="ro-RO"/>
    </w:rPr>
  </w:style>
  <w:style w:type="character" w:styleId="BodyTextIndent3Char" w:customStyle="1">
    <w:name w:val="Body Text Indent 3 Char"/>
    <w:link w:val="BodyTextIndent3"/>
    <w:rsid w:val="00575dcf"/>
    <w:rPr>
      <w:sz w:val="16"/>
      <w:szCs w:val="16"/>
      <w:lang w:val="ro-RO" w:eastAsia="ro-RO"/>
    </w:rPr>
  </w:style>
  <w:style w:type="character" w:styleId="BodyText3Char" w:customStyle="1">
    <w:name w:val="Body Text 3 Char"/>
    <w:link w:val="BodyText3"/>
    <w:rsid w:val="00575dcf"/>
    <w:rPr>
      <w:sz w:val="16"/>
      <w:szCs w:val="16"/>
      <w:lang w:val="ro-RO" w:eastAsia="ro-RO"/>
    </w:rPr>
  </w:style>
  <w:style w:type="character" w:styleId="text-albastru-recomanda-unui-prieten" w:customStyle="1">
    <w:name w:val="text-albastru-recomanda-unui-prieten"/>
    <w:basedOn w:val="DefaultParagraphFont"/>
    <w:rsid w:val="00575dcf"/>
    <w:rPr/>
  </w:style>
  <w:style w:type="character" w:styleId="apple-converted-space" w:customStyle="1">
    <w:name w:val="apple-converted-space"/>
    <w:basedOn w:val="DefaultParagraphFont"/>
    <w:rsid w:val="00575dcf"/>
    <w:rPr/>
  </w:style>
  <w:style w:type="character" w:styleId="l6" w:customStyle="1">
    <w:name w:val="l6"/>
    <w:rsid w:val="00575dcf"/>
    <w:rPr/>
  </w:style>
  <w:style w:type="character" w:styleId="CommentReference">
    <w:name w:val="annotation reference"/>
    <w:rsid w:val="00575dcf"/>
    <w:rPr>
      <w:sz w:val="16"/>
      <w:szCs w:val="16"/>
    </w:rPr>
  </w:style>
  <w:style w:type="character" w:styleId="CommentTextChar" w:customStyle="1">
    <w:name w:val="Comment Text Char"/>
    <w:basedOn w:val="DefaultParagraphFont"/>
    <w:link w:val="CommentText"/>
    <w:rsid w:val="00575dcf"/>
    <w:rPr>
      <w:lang w:val="ro-RO" w:eastAsia="ro-RO"/>
    </w:rPr>
  </w:style>
  <w:style w:type="character" w:styleId="CommentSubjectChar" w:customStyle="1">
    <w:name w:val="Comment Subject Char"/>
    <w:basedOn w:val="CommentTextChar"/>
    <w:link w:val="annotationsubject"/>
    <w:rsid w:val="00575dcf"/>
    <w:rPr>
      <w:b/>
      <w:bCs/>
      <w:lang w:val="ro-RO" w:eastAsia="ro-RO"/>
    </w:rPr>
  </w:style>
  <w:style w:type="character" w:styleId="fleft" w:customStyle="1">
    <w:name w:val="f_left"/>
    <w:basedOn w:val="DefaultParagraphFont"/>
    <w:rsid w:val="00575dcf"/>
    <w:rPr/>
  </w:style>
  <w:style w:type="character" w:styleId="markedcontent" w:customStyle="1">
    <w:name w:val="markedcontent"/>
    <w:basedOn w:val="DefaultParagraphFont"/>
    <w:rsid w:val="00575dcf"/>
    <w:rPr/>
  </w:style>
  <w:style w:type="character" w:styleId="EndnoteCharactersuser">
    <w:name w:val="Endnote Characters (user)"/>
    <w:rPr>
      <w:vertAlign w:val="superscript"/>
    </w:rPr>
  </w:style>
  <w:style w:type="character" w:styleId="EndnoteCharacters">
    <w:name w:val="Endnote Characters"/>
    <w:rPr/>
  </w:style>
  <w:style w:type="character" w:styleId="EndnoteReference">
    <w:name w:val="endnote reference"/>
    <w:rPr>
      <w:vertAlign w:val="superscript"/>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LineNumber">
    <w:name w:val="line number"/>
    <w:rPr/>
  </w:style>
  <w:style w:type="character" w:styleId="MainIndexEntry">
    <w:name w:val="Main Index Entry"/>
    <w:rPr>
      <w:b/>
      <w:bCs/>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link w:val="BodyTextChar"/>
    <w:pPr>
      <w:pBdr>
        <w:top w:val="single" w:sz="12" w:space="5" w:color="000000"/>
        <w:left w:val="single" w:sz="12" w:space="5" w:color="000000"/>
        <w:bottom w:val="single" w:sz="12" w:space="5" w:color="000000"/>
        <w:right w:val="single" w:sz="12" w:space="5" w:color="000000"/>
      </w:pBdr>
      <w:tabs>
        <w:tab w:val="left" w:pos="720" w:leader="none"/>
        <w:tab w:val="left" w:pos="900" w:leader="none"/>
        <w:tab w:val="left" w:pos="1080" w:leader="none"/>
        <w:tab w:val="left" w:pos="1260" w:leader="none"/>
      </w:tabs>
      <w:spacing w:lineRule="auto" w:line="360"/>
      <w:jc w:val="both"/>
    </w:pPr>
    <w:rPr>
      <w:rFonts w:ascii="Arial" w:hAnsi="Arial"/>
      <w:szCs w:val="20"/>
      <w:lang w:val="en-GB" w:eastAsia="en-US"/>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Title">
    <w:name w:val="Title"/>
    <w:basedOn w:val="Normal"/>
    <w:link w:val="TitleChar"/>
    <w:qFormat/>
    <w:pPr>
      <w:jc w:val="center"/>
    </w:pPr>
    <w:rPr>
      <w:b/>
      <w:sz w:val="28"/>
      <w:szCs w:val="20"/>
    </w:rPr>
  </w:style>
  <w:style w:type="paragraph" w:styleId="BodyTextIndent">
    <w:name w:val="Body Text Indent"/>
    <w:basedOn w:val="Normal"/>
    <w:link w:val="BodyTextIndentChar"/>
    <w:pPr>
      <w:pBdr>
        <w:top w:val="single" w:sz="12" w:space="5" w:color="000000"/>
        <w:left w:val="single" w:sz="12" w:space="5" w:color="000000"/>
        <w:bottom w:val="single" w:sz="12" w:space="5" w:color="000000"/>
        <w:right w:val="single" w:sz="12" w:space="5" w:color="000000"/>
      </w:pBdr>
      <w:tabs>
        <w:tab w:val="left" w:pos="720" w:leader="none"/>
        <w:tab w:val="left" w:pos="900" w:leader="none"/>
      </w:tabs>
      <w:spacing w:lineRule="auto" w:line="360"/>
      <w:ind w:hanging="900" w:left="900"/>
      <w:jc w:val="both"/>
    </w:pPr>
    <w:rPr>
      <w:rFonts w:ascii="Arial" w:hAnsi="Arial"/>
      <w:szCs w:val="20"/>
      <w:lang w:val="en-GB" w:eastAsia="en-US"/>
    </w:rPr>
  </w:style>
  <w:style w:type="paragraph" w:styleId="BodyTextIndent2">
    <w:name w:val="Body Text Indent 2"/>
    <w:basedOn w:val="Normal"/>
    <w:link w:val="BodyTextIndent2Char"/>
    <w:pPr>
      <w:pBdr>
        <w:top w:val="single" w:sz="12" w:space="5" w:color="000000"/>
        <w:left w:val="single" w:sz="12" w:space="5" w:color="000000"/>
        <w:bottom w:val="single" w:sz="12" w:space="5" w:color="000000"/>
        <w:right w:val="single" w:sz="12" w:space="5" w:color="000000"/>
      </w:pBdr>
      <w:tabs>
        <w:tab w:val="left" w:pos="720" w:leader="none"/>
        <w:tab w:val="left" w:pos="900" w:leader="none"/>
        <w:tab w:val="left" w:pos="1080" w:leader="none"/>
      </w:tabs>
      <w:spacing w:lineRule="auto" w:line="360"/>
      <w:ind w:hanging="1080" w:left="1080"/>
      <w:jc w:val="both"/>
    </w:pPr>
    <w:rPr>
      <w:rFonts w:ascii="Arial" w:hAnsi="Arial"/>
      <w:szCs w:val="20"/>
      <w:lang w:val="en-GB" w:eastAsia="en-US"/>
    </w:rPr>
  </w:style>
  <w:style w:type="paragraph" w:styleId="FootnoteText">
    <w:name w:val="footnote text"/>
    <w:basedOn w:val="Normal"/>
    <w:link w:val="FootnoteTextChar"/>
    <w:semiHidden/>
    <w:pPr/>
    <w:rPr>
      <w:sz w:val="20"/>
      <w:szCs w:val="20"/>
    </w:rPr>
  </w:style>
  <w:style w:type="paragraph" w:styleId="HTMLPreformatted">
    <w:name w:val="HTML Preformatted"/>
    <w:basedOn w:val="Normal"/>
    <w:link w:val="HTMLPreformattedChar"/>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en-US" w:eastAsia="en-US"/>
    </w:rPr>
  </w:style>
  <w:style w:type="paragraph" w:styleId="HeaderandFooter">
    <w:name w:val="Header and Footer"/>
    <w:basedOn w:val="Normal"/>
    <w:pPr/>
    <w:rPr/>
  </w:style>
  <w:style w:type="paragraph" w:styleId="Header">
    <w:name w:val="header"/>
    <w:basedOn w:val="Normal"/>
    <w:link w:val="HeaderChar"/>
    <w:pPr>
      <w:tabs>
        <w:tab w:val="clear" w:pos="720"/>
        <w:tab w:val="center" w:pos="4320" w:leader="none"/>
        <w:tab w:val="right" w:pos="8640" w:leader="none"/>
      </w:tabs>
    </w:pPr>
    <w:rPr/>
  </w:style>
  <w:style w:type="paragraph" w:styleId="BodyText2">
    <w:name w:val="Body Text 2"/>
    <w:basedOn w:val="Normal"/>
    <w:link w:val="BodyText2Char"/>
    <w:pPr>
      <w:spacing w:lineRule="auto" w:line="480" w:before="0" w:after="120"/>
    </w:pPr>
    <w:rPr/>
  </w:style>
  <w:style w:type="paragraph" w:styleId="Footer">
    <w:name w:val="footer"/>
    <w:basedOn w:val="Normal"/>
    <w:link w:val="FooterChar"/>
    <w:pPr>
      <w:tabs>
        <w:tab w:val="clear" w:pos="720"/>
        <w:tab w:val="center" w:pos="4320" w:leader="none"/>
        <w:tab w:val="right" w:pos="8640" w:leader="none"/>
      </w:tabs>
    </w:pPr>
    <w:rPr/>
  </w:style>
  <w:style w:type="paragraph" w:styleId="BodyTextIndent3">
    <w:name w:val="Body Text Indent 3"/>
    <w:basedOn w:val="Normal"/>
    <w:link w:val="BodyTextIndent3Char"/>
    <w:pPr>
      <w:spacing w:before="0" w:after="120"/>
      <w:ind w:left="360"/>
    </w:pPr>
    <w:rPr>
      <w:sz w:val="16"/>
      <w:szCs w:val="16"/>
    </w:rPr>
  </w:style>
  <w:style w:type="paragraph" w:styleId="BodyText3">
    <w:name w:val="Body Text 3"/>
    <w:basedOn w:val="Normal"/>
    <w:link w:val="BodyText3Char"/>
    <w:pPr>
      <w:spacing w:before="0" w:after="120"/>
    </w:pPr>
    <w:rPr>
      <w:sz w:val="16"/>
      <w:szCs w:val="16"/>
    </w:rPr>
  </w:style>
  <w:style w:type="paragraph" w:styleId="BalloonText">
    <w:name w:val="Balloon Text"/>
    <w:basedOn w:val="Normal"/>
    <w:link w:val="BalloonTextChar"/>
    <w:rsid w:val="00ea3ac1"/>
    <w:pPr/>
    <w:rPr>
      <w:rFonts w:ascii="Segoe UI" w:hAnsi="Segoe UI" w:cs="Segoe UI"/>
      <w:sz w:val="18"/>
      <w:szCs w:val="18"/>
    </w:rPr>
  </w:style>
  <w:style w:type="paragraph" w:styleId="ListParagraph">
    <w:name w:val="List Paragraph"/>
    <w:basedOn w:val="Normal"/>
    <w:uiPriority w:val="34"/>
    <w:qFormat/>
    <w:rsid w:val="008703ea"/>
    <w:pPr>
      <w:spacing w:before="0" w:after="0"/>
      <w:ind w:left="720"/>
      <w:contextualSpacing/>
    </w:pPr>
    <w:rPr/>
  </w:style>
  <w:style w:type="paragraph" w:styleId="List2">
    <w:name w:val="List 2"/>
    <w:basedOn w:val="Normal"/>
    <w:rsid w:val="00575dcf"/>
    <w:pPr>
      <w:ind w:hanging="283" w:left="566"/>
    </w:pPr>
    <w:rPr/>
  </w:style>
  <w:style w:type="paragraph" w:styleId="NoSpacing">
    <w:name w:val="No Spacing"/>
    <w:basedOn w:val="Normal"/>
    <w:qFormat/>
    <w:rsid w:val="00575dcf"/>
    <w:pPr/>
    <w:rPr>
      <w:rFonts w:ascii="Calibri" w:hAnsi="Calibri"/>
      <w:szCs w:val="32"/>
      <w:lang w:val="en-US" w:eastAsia="en-US" w:bidi="en-US"/>
    </w:rPr>
  </w:style>
  <w:style w:type="paragraph" w:styleId="NormalWeb">
    <w:name w:val="Normal (Web)"/>
    <w:basedOn w:val="Normal"/>
    <w:uiPriority w:val="99"/>
    <w:rsid w:val="00575dcf"/>
    <w:pPr>
      <w:spacing w:beforeAutospacing="1" w:afterAutospacing="1"/>
    </w:pPr>
    <w:rPr>
      <w:lang w:val="en-US" w:eastAsia="en-US"/>
    </w:rPr>
  </w:style>
  <w:style w:type="paragraph" w:styleId="NormalWeb2" w:customStyle="1">
    <w:name w:val="Normal (Web)2"/>
    <w:basedOn w:val="Normal"/>
    <w:rsid w:val="00575dcf"/>
    <w:pPr>
      <w:spacing w:before="131" w:after="131"/>
      <w:ind w:left="131" w:right="131"/>
    </w:pPr>
    <w:rPr>
      <w:lang w:val="en-US" w:eastAsia="en-US"/>
    </w:rPr>
  </w:style>
  <w:style w:type="paragraph" w:styleId="CommentText">
    <w:name w:val="annotation text"/>
    <w:basedOn w:val="Normal"/>
    <w:link w:val="CommentTextChar"/>
    <w:rsid w:val="00575dcf"/>
    <w:pPr/>
    <w:rPr>
      <w:sz w:val="20"/>
      <w:szCs w:val="20"/>
    </w:rPr>
  </w:style>
  <w:style w:type="paragraph" w:styleId="annotationsubject">
    <w:name w:val="annotation subject"/>
    <w:basedOn w:val="CommentText"/>
    <w:next w:val="CommentText"/>
    <w:link w:val="CommentSubjectChar"/>
    <w:rsid w:val="00575dcf"/>
    <w:pPr/>
    <w:rPr>
      <w:b/>
      <w:bCs/>
    </w:rPr>
  </w:style>
  <w:style w:type="paragraph" w:styleId="FrameContents">
    <w:name w:val="Frame Contents"/>
    <w:basedOn w:val="Normal"/>
    <w:pPr/>
    <w:rPr/>
  </w:style>
  <w:style w:type="paragraph" w:styleId="HeaderLeft">
    <w:name w:val="Header Left"/>
    <w:basedOn w:val="Header"/>
    <w:pPr/>
    <w:rPr/>
  </w:style>
  <w:style w:type="paragraph" w:styleId="FrameContentsuser">
    <w:name w:val="Frame Contents (user)"/>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a51d22"/>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oleObject" Target="embeddings/oleObject2.bin"/><Relationship Id="rId5" Type="http://schemas.openxmlformats.org/officeDocument/2006/relationships/image" Target="media/image2.wmf"/><Relationship Id="rId6" Type="http://schemas.openxmlformats.org/officeDocument/2006/relationships/image" Target="media/image3.jpeg"/><Relationship Id="rId7" Type="http://schemas.openxmlformats.org/officeDocument/2006/relationships/image" Target="media/image4.jpeg"/><Relationship Id="rId8" Type="http://schemas.openxmlformats.org/officeDocument/2006/relationships/image" Target="media/image5.jpeg"/><Relationship Id="rId9" Type="http://schemas.openxmlformats.org/officeDocument/2006/relationships/image" Target="media/image6.jpeg"/><Relationship Id="rId10" Type="http://schemas.openxmlformats.org/officeDocument/2006/relationships/image" Target="media/image7.jpeg"/><Relationship Id="rId11" Type="http://schemas.openxmlformats.org/officeDocument/2006/relationships/image" Target="media/image8.jpeg"/><Relationship Id="rId12" Type="http://schemas.openxmlformats.org/officeDocument/2006/relationships/oleObject" Target="embeddings/oleObject3.bin"/><Relationship Id="rId13" Type="http://schemas.openxmlformats.org/officeDocument/2006/relationships/image" Target="media/image9.wmf"/><Relationship Id="rId14" Type="http://schemas.openxmlformats.org/officeDocument/2006/relationships/header" Target="header1.xml"/><Relationship Id="rId15" Type="http://schemas.openxmlformats.org/officeDocument/2006/relationships/header" Target="header2.xml"/><Relationship Id="rId16" Type="http://schemas.openxmlformats.org/officeDocument/2006/relationships/header" Target="header3.xml"/><Relationship Id="rId17" Type="http://schemas.openxmlformats.org/officeDocument/2006/relationships/footer" Target="footer1.xml"/><Relationship Id="rId18" Type="http://schemas.openxmlformats.org/officeDocument/2006/relationships/footer" Target="footer2.xml"/><Relationship Id="rId19" Type="http://schemas.openxmlformats.org/officeDocument/2006/relationships/footer" Target="footer3.xml"/><Relationship Id="rId20" Type="http://schemas.openxmlformats.org/officeDocument/2006/relationships/header" Target="header4.xml"/><Relationship Id="rId21" Type="http://schemas.openxmlformats.org/officeDocument/2006/relationships/header" Target="header5.xml"/><Relationship Id="rId22" Type="http://schemas.openxmlformats.org/officeDocument/2006/relationships/header" Target="header6.xml"/><Relationship Id="rId23" Type="http://schemas.openxmlformats.org/officeDocument/2006/relationships/footer" Target="footer4.xml"/><Relationship Id="rId24" Type="http://schemas.openxmlformats.org/officeDocument/2006/relationships/footer" Target="footer5.xml"/><Relationship Id="rId25" Type="http://schemas.openxmlformats.org/officeDocument/2006/relationships/footer" Target="footer6.xml"/><Relationship Id="rId26" Type="http://schemas.openxmlformats.org/officeDocument/2006/relationships/header" Target="header7.xml"/><Relationship Id="rId27" Type="http://schemas.openxmlformats.org/officeDocument/2006/relationships/header" Target="header8.xml"/><Relationship Id="rId28" Type="http://schemas.openxmlformats.org/officeDocument/2006/relationships/header" Target="header9.xml"/><Relationship Id="rId29" Type="http://schemas.openxmlformats.org/officeDocument/2006/relationships/footer" Target="footer7.xml"/><Relationship Id="rId30" Type="http://schemas.openxmlformats.org/officeDocument/2006/relationships/footer" Target="footer8.xml"/><Relationship Id="rId31" Type="http://schemas.openxmlformats.org/officeDocument/2006/relationships/footer" Target="footer9.xml"/><Relationship Id="rId32" Type="http://schemas.openxmlformats.org/officeDocument/2006/relationships/footnotes" Target="footnotes.xml"/><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Relationship Id="rId3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37A23C-125F-426F-8DEB-C150003A63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TotalTime>
  <Application>LibreOffice/26.8.0.3$Linux_AARCH64 LibreOffice_project/680$Build-3</Application>
  <AppVersion>15.0000</AppVersion>
  <Pages>33</Pages>
  <Words>11756</Words>
  <Characters>67810</Characters>
  <CharactersWithSpaces>77477</CharactersWithSpaces>
  <Paragraphs>2047</Paragraphs>
  <Company>Arman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2024-03-05T07:55:00Z</dcterms:created>
  <dc:creator>Manta Ioan</dc:creator>
  <dc:description/>
  <dc:language>en-US</dc:language>
  <cp:lastModifiedBy/>
  <cp:lastPrinted>2024-03-05T09:20:00Z</cp:lastPrinted>
  <dcterms:modified xsi:type="dcterms:W3CDTF">2026-10-01T22:40:10Z</dcterms:modified>
  <cp:revision>11</cp:revision>
  <dc:subject/>
  <dc:title>Universitatea „1 Decembrie 1918” din Alba Iulia</dc:title>
</cp:coreProperties>
</file>

<file path=docProps/custom.xml><?xml version="1.0" encoding="utf-8"?>
<Properties xmlns="http://schemas.openxmlformats.org/officeDocument/2006/custom-properties" xmlns:vt="http://schemas.openxmlformats.org/officeDocument/2006/docPropsVTypes"/>
</file>